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71E0" w14:textId="77777777" w:rsidR="00AC131C" w:rsidRPr="00DD5C6E" w:rsidRDefault="00AC131C" w:rsidP="00AC131C">
      <w:pPr>
        <w:shd w:val="clear" w:color="auto" w:fill="FFFFFF"/>
        <w:spacing w:after="150"/>
        <w:jc w:val="both"/>
        <w:outlineLvl w:val="1"/>
        <w:rPr>
          <w:rFonts w:asciiTheme="majorHAnsi" w:eastAsia="Times New Roman" w:hAnsiTheme="majorHAnsi" w:cs="Times New Roman"/>
          <w:b/>
          <w:bCs/>
          <w:color w:val="555555"/>
          <w:sz w:val="22"/>
          <w:szCs w:val="22"/>
        </w:rPr>
      </w:pPr>
      <w:r w:rsidRPr="00DD5C6E">
        <w:rPr>
          <w:rFonts w:asciiTheme="majorHAnsi" w:eastAsia="Times New Roman" w:hAnsiTheme="majorHAnsi" w:cs="Times New Roman"/>
          <w:b/>
          <w:bCs/>
          <w:color w:val="555555"/>
          <w:sz w:val="22"/>
          <w:szCs w:val="22"/>
        </w:rPr>
        <w:t>Organizaciones exigen a las autoridades protección y justicia para personas migrantes y refugiadas en México a través de informe</w:t>
      </w:r>
    </w:p>
    <w:p w14:paraId="767D5EE3" w14:textId="77777777" w:rsidR="002F6542" w:rsidRPr="00DD5C6E" w:rsidRDefault="002F6542" w:rsidP="002F6542">
      <w:pPr>
        <w:shd w:val="clear" w:color="auto" w:fill="FFFFFF"/>
        <w:spacing w:before="100" w:beforeAutospacing="1" w:after="100" w:afterAutospacing="1"/>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08 de agosto de 2016, Saltillo Coahuila</w:t>
      </w:r>
    </w:p>
    <w:p w14:paraId="42AE135D" w14:textId="65778C98" w:rsidR="002F6542" w:rsidRPr="00DD5C6E" w:rsidRDefault="00CE7A97" w:rsidP="002F6542">
      <w:pPr>
        <w:numPr>
          <w:ilvl w:val="0"/>
          <w:numId w:val="1"/>
        </w:numPr>
        <w:shd w:val="clear" w:color="auto" w:fill="FFFFFF"/>
        <w:tabs>
          <w:tab w:val="clear" w:pos="720"/>
          <w:tab w:val="num" w:pos="142"/>
        </w:tabs>
        <w:spacing w:before="100" w:beforeAutospacing="1" w:after="100" w:afterAutospacing="1"/>
        <w:ind w:left="284" w:hanging="142"/>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A </w:t>
      </w:r>
      <w:r w:rsidR="002F6542" w:rsidRPr="00DD5C6E">
        <w:rPr>
          <w:rFonts w:asciiTheme="majorHAnsi" w:eastAsia="Times New Roman" w:hAnsiTheme="majorHAnsi" w:cs="Times New Roman"/>
          <w:color w:val="333333"/>
          <w:sz w:val="22"/>
          <w:szCs w:val="22"/>
        </w:rPr>
        <w:t xml:space="preserve"> </w:t>
      </w:r>
      <w:r w:rsidR="00186F0E" w:rsidRPr="00DD5C6E">
        <w:rPr>
          <w:rFonts w:asciiTheme="majorHAnsi" w:eastAsia="Times New Roman" w:hAnsiTheme="majorHAnsi" w:cs="Times New Roman"/>
          <w:color w:val="333333"/>
          <w:sz w:val="22"/>
          <w:szCs w:val="22"/>
        </w:rPr>
        <w:t xml:space="preserve">nueve meses del a presentación del </w:t>
      </w:r>
      <w:r w:rsidR="006A1741" w:rsidRPr="00DD5C6E">
        <w:rPr>
          <w:rFonts w:asciiTheme="majorHAnsi" w:eastAsia="Times New Roman" w:hAnsiTheme="majorHAnsi" w:cs="Times New Roman"/>
          <w:color w:val="333333"/>
          <w:sz w:val="22"/>
          <w:szCs w:val="22"/>
        </w:rPr>
        <w:t>informe</w:t>
      </w:r>
      <w:r w:rsidR="00186F0E" w:rsidRPr="00DD5C6E">
        <w:rPr>
          <w:rFonts w:asciiTheme="majorHAnsi" w:eastAsia="Times New Roman" w:hAnsiTheme="majorHAnsi" w:cs="Times New Roman"/>
          <w:color w:val="333333"/>
          <w:sz w:val="22"/>
          <w:szCs w:val="22"/>
        </w:rPr>
        <w:t xml:space="preserve"> </w:t>
      </w:r>
      <w:r w:rsidR="002F6542" w:rsidRPr="00DD5C6E">
        <w:rPr>
          <w:rFonts w:asciiTheme="majorHAnsi" w:eastAsia="Times New Roman" w:hAnsiTheme="majorHAnsi" w:cs="Times New Roman"/>
          <w:i/>
          <w:color w:val="333333"/>
          <w:sz w:val="22"/>
          <w:szCs w:val="22"/>
        </w:rPr>
        <w:t xml:space="preserve">“Un Camino Incierto: justicia para delitos y violaciones a los derechos humanos contra personas migrantes y refugiadas en México” </w:t>
      </w:r>
      <w:r w:rsidR="00186F0E" w:rsidRPr="00DD5C6E">
        <w:rPr>
          <w:rFonts w:asciiTheme="majorHAnsi" w:eastAsia="Times New Roman" w:hAnsiTheme="majorHAnsi" w:cs="Times New Roman"/>
          <w:color w:val="333333"/>
          <w:sz w:val="22"/>
          <w:szCs w:val="22"/>
        </w:rPr>
        <w:t>la situación de las personas migrantes y refugiadas no ha mejorado sustancialmente en el país.</w:t>
      </w:r>
    </w:p>
    <w:p w14:paraId="2B29BC04" w14:textId="77777777" w:rsidR="00AC131C" w:rsidRPr="00DD5C6E" w:rsidRDefault="00AC131C" w:rsidP="002F6542">
      <w:pPr>
        <w:numPr>
          <w:ilvl w:val="0"/>
          <w:numId w:val="1"/>
        </w:numPr>
        <w:shd w:val="clear" w:color="auto" w:fill="FFFFFF"/>
        <w:tabs>
          <w:tab w:val="clear" w:pos="720"/>
          <w:tab w:val="num" w:pos="142"/>
        </w:tabs>
        <w:spacing w:before="100" w:beforeAutospacing="1" w:after="100" w:afterAutospacing="1"/>
        <w:ind w:left="284" w:hanging="142"/>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i/>
          <w:iCs/>
          <w:color w:val="333333"/>
          <w:sz w:val="22"/>
          <w:szCs w:val="22"/>
        </w:rPr>
        <w:t>Con su enfoque en control migratorio, el Programa Frontera Sur ha aumentado la vulnerabilidad de las personas migrantes frente a violaciones a sus derechos humanos.</w:t>
      </w:r>
    </w:p>
    <w:p w14:paraId="7B1EA823" w14:textId="6320F456" w:rsidR="00AC131C" w:rsidRPr="00DD5C6E" w:rsidRDefault="00AC131C" w:rsidP="002F6542">
      <w:pPr>
        <w:numPr>
          <w:ilvl w:val="0"/>
          <w:numId w:val="1"/>
        </w:numPr>
        <w:shd w:val="clear" w:color="auto" w:fill="FFFFFF"/>
        <w:tabs>
          <w:tab w:val="clear" w:pos="720"/>
          <w:tab w:val="num" w:pos="142"/>
        </w:tabs>
        <w:spacing w:before="100" w:beforeAutospacing="1" w:after="100" w:afterAutospacing="1"/>
        <w:ind w:left="284" w:hanging="142"/>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i/>
          <w:iCs/>
          <w:color w:val="333333"/>
          <w:sz w:val="22"/>
          <w:szCs w:val="22"/>
        </w:rPr>
        <w:t xml:space="preserve">A pesar del trabajo de </w:t>
      </w:r>
      <w:r w:rsidR="006A1741" w:rsidRPr="00DD5C6E">
        <w:rPr>
          <w:rFonts w:asciiTheme="majorHAnsi" w:eastAsia="Times New Roman" w:hAnsiTheme="majorHAnsi" w:cs="Times New Roman"/>
          <w:i/>
          <w:iCs/>
          <w:color w:val="333333"/>
          <w:sz w:val="22"/>
          <w:szCs w:val="22"/>
        </w:rPr>
        <w:t>ciertas</w:t>
      </w:r>
      <w:r w:rsidRPr="00DD5C6E">
        <w:rPr>
          <w:rFonts w:asciiTheme="majorHAnsi" w:eastAsia="Times New Roman" w:hAnsiTheme="majorHAnsi" w:cs="Times New Roman"/>
          <w:i/>
          <w:iCs/>
          <w:color w:val="333333"/>
          <w:sz w:val="22"/>
          <w:szCs w:val="22"/>
        </w:rPr>
        <w:t xml:space="preserve"> autoridades federales y locales, incluyendo Fiscalías Especializadas, no hay un efectivo acceso a la justicia para los migrantes víctimas de delitos y violaciones a los derechos humanos.</w:t>
      </w:r>
    </w:p>
    <w:p w14:paraId="492A4D9F" w14:textId="71307B8A"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En noviembre de 2015, la Casa del Migrante “Frontera con Justicia", A.C. en Saltillo, Coahuila, Fundar, Centro de Análisis e Investigación y Oficina en Washington para Asuntos Latinoamericanos (WOLA) junto con seis albergues y organizaciones que defienden los derechos de migrantes en cinco regiones de México</w:t>
      </w:r>
      <w:r w:rsidRPr="00DD5C6E">
        <w:rPr>
          <w:rFonts w:asciiTheme="majorHAnsi" w:eastAsia="Times New Roman" w:hAnsiTheme="majorHAnsi" w:cs="Times New Roman"/>
          <w:color w:val="333333"/>
          <w:sz w:val="22"/>
          <w:szCs w:val="22"/>
          <w:vertAlign w:val="superscript"/>
        </w:rPr>
        <w:footnoteReference w:id="2"/>
      </w:r>
      <w:r w:rsidRPr="00DD5C6E">
        <w:rPr>
          <w:rFonts w:asciiTheme="majorHAnsi" w:eastAsia="Times New Roman" w:hAnsiTheme="majorHAnsi" w:cs="Times New Roman"/>
          <w:color w:val="333333"/>
          <w:sz w:val="22"/>
          <w:szCs w:val="22"/>
        </w:rPr>
        <w:t xml:space="preserve"> presentaron el </w:t>
      </w:r>
      <w:r w:rsidR="006A1741" w:rsidRPr="00DD5C6E">
        <w:rPr>
          <w:rFonts w:asciiTheme="majorHAnsi" w:eastAsia="Times New Roman" w:hAnsiTheme="majorHAnsi" w:cs="Times New Roman"/>
          <w:color w:val="333333"/>
          <w:sz w:val="22"/>
          <w:szCs w:val="22"/>
        </w:rPr>
        <w:t>informe</w:t>
      </w:r>
      <w:r w:rsidR="00F34404" w:rsidRPr="00DD5C6E">
        <w:rPr>
          <w:rFonts w:asciiTheme="majorHAnsi" w:eastAsia="Times New Roman" w:hAnsiTheme="majorHAnsi" w:cs="Times New Roman"/>
          <w:color w:val="333333"/>
          <w:sz w:val="22"/>
          <w:szCs w:val="22"/>
        </w:rPr>
        <w:t xml:space="preserve"> </w:t>
      </w:r>
      <w:r w:rsidRPr="00DD5C6E">
        <w:rPr>
          <w:rFonts w:asciiTheme="majorHAnsi" w:eastAsia="Times New Roman" w:hAnsiTheme="majorHAnsi" w:cs="Times New Roman"/>
          <w:i/>
          <w:color w:val="333333"/>
          <w:sz w:val="22"/>
          <w:szCs w:val="22"/>
        </w:rPr>
        <w:t>Un Camino Incierto: justicia para delitos y violaciones a los derechos humanos contra personas migrantes y refugiadas en México</w:t>
      </w:r>
      <w:r w:rsidRPr="00DD5C6E">
        <w:rPr>
          <w:rFonts w:asciiTheme="majorHAnsi" w:eastAsia="Times New Roman" w:hAnsiTheme="majorHAnsi" w:cs="Times New Roman"/>
          <w:color w:val="333333"/>
          <w:sz w:val="22"/>
          <w:szCs w:val="22"/>
        </w:rPr>
        <w:t>.</w:t>
      </w:r>
    </w:p>
    <w:p w14:paraId="76F0A147"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08681CCE"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i/>
          <w:color w:val="333333"/>
          <w:sz w:val="22"/>
          <w:szCs w:val="22"/>
        </w:rPr>
        <w:t>Un camino incierto</w:t>
      </w:r>
      <w:r w:rsidRPr="00DD5C6E">
        <w:rPr>
          <w:rFonts w:asciiTheme="majorHAnsi" w:eastAsia="Times New Roman" w:hAnsiTheme="majorHAnsi" w:cs="Times New Roman"/>
          <w:color w:val="333333"/>
          <w:sz w:val="22"/>
          <w:szCs w:val="22"/>
        </w:rPr>
        <w:t xml:space="preserve"> analiza las acciones del gobierno mexicano a partir de la puesta en marcha del </w:t>
      </w:r>
      <w:r w:rsidRPr="00DD5C6E">
        <w:rPr>
          <w:rFonts w:asciiTheme="majorHAnsi" w:eastAsia="Times New Roman" w:hAnsiTheme="majorHAnsi" w:cs="Times New Roman"/>
          <w:i/>
          <w:color w:val="333333"/>
          <w:sz w:val="22"/>
          <w:szCs w:val="22"/>
        </w:rPr>
        <w:t>Programa Frontera Sur</w:t>
      </w:r>
      <w:r w:rsidRPr="00DD5C6E">
        <w:rPr>
          <w:rFonts w:asciiTheme="majorHAnsi" w:eastAsia="Times New Roman" w:hAnsiTheme="majorHAnsi" w:cs="Times New Roman"/>
          <w:color w:val="333333"/>
          <w:sz w:val="22"/>
          <w:szCs w:val="22"/>
        </w:rPr>
        <w:t xml:space="preserve">, con el cual México parece haber respondido a la presión ejercida por el gobierno de los Estados Unidos después de la “crisis humanitaria” de niños migrantes y familias, la mayoría de Centroamérica, que llegaban a su frontera a mediados de 2014. </w:t>
      </w:r>
    </w:p>
    <w:p w14:paraId="1D25AFA1"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49CF6E15" w14:textId="64B341DE"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El </w:t>
      </w:r>
      <w:r w:rsidR="006A1741" w:rsidRPr="00DD5C6E">
        <w:rPr>
          <w:rFonts w:asciiTheme="majorHAnsi" w:eastAsia="Times New Roman" w:hAnsiTheme="majorHAnsi" w:cs="Times New Roman"/>
          <w:color w:val="333333"/>
          <w:sz w:val="22"/>
          <w:szCs w:val="22"/>
        </w:rPr>
        <w:t>informe</w:t>
      </w:r>
      <w:r w:rsidR="00F34404" w:rsidRPr="00DD5C6E">
        <w:rPr>
          <w:rFonts w:asciiTheme="majorHAnsi" w:eastAsia="Times New Roman" w:hAnsiTheme="majorHAnsi" w:cs="Times New Roman"/>
          <w:color w:val="333333"/>
          <w:sz w:val="22"/>
          <w:szCs w:val="22"/>
        </w:rPr>
        <w:t xml:space="preserve"> </w:t>
      </w:r>
      <w:r w:rsidRPr="00DD5C6E">
        <w:rPr>
          <w:rFonts w:asciiTheme="majorHAnsi" w:eastAsia="Times New Roman" w:hAnsiTheme="majorHAnsi" w:cs="Times New Roman"/>
          <w:color w:val="333333"/>
          <w:sz w:val="22"/>
          <w:szCs w:val="22"/>
        </w:rPr>
        <w:t xml:space="preserve">concluye que existe una relación directa entre la intensificación del control migratorio a raíz del </w:t>
      </w:r>
      <w:r w:rsidRPr="00DD5C6E">
        <w:rPr>
          <w:rFonts w:asciiTheme="majorHAnsi" w:eastAsia="Times New Roman" w:hAnsiTheme="majorHAnsi" w:cs="Times New Roman"/>
          <w:i/>
          <w:color w:val="333333"/>
          <w:sz w:val="22"/>
          <w:szCs w:val="22"/>
        </w:rPr>
        <w:t>Programa Frontera Sur</w:t>
      </w:r>
      <w:r w:rsidRPr="00DD5C6E">
        <w:rPr>
          <w:rFonts w:asciiTheme="majorHAnsi" w:eastAsia="Times New Roman" w:hAnsiTheme="majorHAnsi" w:cs="Times New Roman"/>
          <w:color w:val="333333"/>
          <w:sz w:val="22"/>
          <w:szCs w:val="22"/>
        </w:rPr>
        <w:t xml:space="preserve"> a través de operativos, las detenciones y las deportaciones de personas migrantes y refugiadas y algunas violaciones de sus derechos. En este contexto,</w:t>
      </w:r>
      <w:r w:rsidR="006A1741" w:rsidRPr="00DD5C6E">
        <w:rPr>
          <w:rFonts w:asciiTheme="majorHAnsi" w:eastAsia="Times New Roman" w:hAnsiTheme="majorHAnsi" w:cs="Times New Roman"/>
          <w:color w:val="333333"/>
          <w:sz w:val="22"/>
          <w:szCs w:val="22"/>
        </w:rPr>
        <w:t xml:space="preserve"> </w:t>
      </w:r>
      <w:r w:rsidRPr="00DD5C6E">
        <w:rPr>
          <w:rFonts w:asciiTheme="majorHAnsi" w:eastAsia="Times New Roman" w:hAnsiTheme="majorHAnsi" w:cs="Times New Roman"/>
          <w:color w:val="333333"/>
          <w:sz w:val="22"/>
          <w:szCs w:val="22"/>
        </w:rPr>
        <w:t xml:space="preserve">las autoridades mexicanas no han fortalecido sus capacidades para proteger a las personas migrantes. Tampoco existe evidencia de que las instancias creadas para investigar delitos en contra de migrantes estén cumpliendo su función en forma efectiva.  </w:t>
      </w:r>
    </w:p>
    <w:p w14:paraId="35BEF71E"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 </w:t>
      </w:r>
    </w:p>
    <w:p w14:paraId="7A1B0B6B" w14:textId="37B57BD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En el caso de Coahuila, </w:t>
      </w:r>
      <w:r w:rsidRPr="00DD5C6E">
        <w:rPr>
          <w:rFonts w:asciiTheme="majorHAnsi" w:eastAsia="Times New Roman" w:hAnsiTheme="majorHAnsi" w:cs="Times New Roman"/>
          <w:i/>
          <w:color w:val="333333"/>
          <w:sz w:val="22"/>
          <w:szCs w:val="22"/>
        </w:rPr>
        <w:t>Un Camino Incierto</w:t>
      </w:r>
      <w:r w:rsidRPr="00DD5C6E">
        <w:rPr>
          <w:rFonts w:asciiTheme="majorHAnsi" w:eastAsia="Times New Roman" w:hAnsiTheme="majorHAnsi" w:cs="Times New Roman"/>
          <w:color w:val="333333"/>
          <w:sz w:val="22"/>
          <w:szCs w:val="22"/>
        </w:rPr>
        <w:t xml:space="preserve"> presenta cifras sobre los abusos en contra de personas migrantes documentadas por la Casa del Migrante</w:t>
      </w:r>
      <w:r w:rsidR="006A1741" w:rsidRPr="00DD5C6E">
        <w:rPr>
          <w:rFonts w:asciiTheme="majorHAnsi" w:eastAsia="Times New Roman" w:hAnsiTheme="majorHAnsi" w:cs="Times New Roman"/>
          <w:color w:val="333333"/>
          <w:sz w:val="22"/>
          <w:szCs w:val="22"/>
        </w:rPr>
        <w:t xml:space="preserve"> de</w:t>
      </w:r>
      <w:r w:rsidRPr="00DD5C6E">
        <w:rPr>
          <w:rFonts w:asciiTheme="majorHAnsi" w:eastAsia="Times New Roman" w:hAnsiTheme="majorHAnsi" w:cs="Times New Roman"/>
          <w:color w:val="333333"/>
          <w:sz w:val="22"/>
          <w:szCs w:val="22"/>
        </w:rPr>
        <w:t xml:space="preserve"> Saltillo; particularmente, casos de robo y extorsión cometidos por autoridades, en los cuales destaca la participación de</w:t>
      </w:r>
      <w:r w:rsidR="00F34404" w:rsidRPr="00DD5C6E">
        <w:rPr>
          <w:rFonts w:asciiTheme="majorHAnsi" w:eastAsia="Times New Roman" w:hAnsiTheme="majorHAnsi" w:cs="Times New Roman"/>
          <w:color w:val="333333"/>
          <w:sz w:val="22"/>
          <w:szCs w:val="22"/>
        </w:rPr>
        <w:t xml:space="preserve"> policías de diferentes niveles, en particular de la </w:t>
      </w:r>
      <w:r w:rsidRPr="00DD5C6E">
        <w:rPr>
          <w:rFonts w:asciiTheme="majorHAnsi" w:eastAsia="Times New Roman" w:hAnsiTheme="majorHAnsi" w:cs="Times New Roman"/>
          <w:color w:val="333333"/>
          <w:sz w:val="22"/>
          <w:szCs w:val="22"/>
        </w:rPr>
        <w:t>Policía Federal. Igualmente, se hace referencia a casos en los cuales los migrantes han sido criminalizados por parte de las autoridades, así como los obstáculos que enfrentan los migrantes y las organizaciones que los acompañan para que los abusos y delitos se investiguen y sancionen.</w:t>
      </w:r>
    </w:p>
    <w:p w14:paraId="7A91F9AF"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4D24AB7B" w14:textId="48C06BB4" w:rsidR="002F6542" w:rsidRPr="00DD5C6E" w:rsidRDefault="00224BE0" w:rsidP="00224BE0">
      <w:pPr>
        <w:shd w:val="clear" w:color="auto" w:fill="FFFFFF"/>
        <w:jc w:val="both"/>
        <w:rPr>
          <w:rFonts w:asciiTheme="majorHAnsi" w:eastAsia="Times New Roman" w:hAnsiTheme="majorHAnsi" w:cs="Times New Roman"/>
          <w:bCs/>
          <w:color w:val="333333"/>
          <w:sz w:val="22"/>
          <w:szCs w:val="22"/>
          <w:lang w:val="es-MX"/>
        </w:rPr>
      </w:pPr>
      <w:r w:rsidRPr="00DD5C6E">
        <w:rPr>
          <w:rFonts w:asciiTheme="majorHAnsi" w:eastAsia="Times New Roman" w:hAnsiTheme="majorHAnsi" w:cs="Times New Roman"/>
          <w:color w:val="333333"/>
          <w:sz w:val="22"/>
          <w:szCs w:val="22"/>
        </w:rPr>
        <w:lastRenderedPageBreak/>
        <w:t xml:space="preserve">En </w:t>
      </w:r>
      <w:r w:rsidR="00CE7A97" w:rsidRPr="00DD5C6E">
        <w:rPr>
          <w:rFonts w:asciiTheme="majorHAnsi" w:eastAsia="Times New Roman" w:hAnsiTheme="majorHAnsi" w:cs="Times New Roman"/>
          <w:color w:val="333333"/>
          <w:sz w:val="22"/>
          <w:szCs w:val="22"/>
        </w:rPr>
        <w:t>agosto</w:t>
      </w:r>
      <w:r w:rsidRPr="00DD5C6E">
        <w:rPr>
          <w:rFonts w:asciiTheme="majorHAnsi" w:eastAsia="Times New Roman" w:hAnsiTheme="majorHAnsi" w:cs="Times New Roman"/>
          <w:color w:val="333333"/>
          <w:sz w:val="22"/>
          <w:szCs w:val="22"/>
        </w:rPr>
        <w:t xml:space="preserve"> de 2016, a </w:t>
      </w:r>
      <w:r w:rsidR="00CE7A97" w:rsidRPr="00DD5C6E">
        <w:rPr>
          <w:rFonts w:asciiTheme="majorHAnsi" w:eastAsia="Times New Roman" w:hAnsiTheme="majorHAnsi" w:cs="Times New Roman"/>
          <w:color w:val="333333"/>
          <w:sz w:val="22"/>
          <w:szCs w:val="22"/>
        </w:rPr>
        <w:t>nueve</w:t>
      </w:r>
      <w:r w:rsidRPr="00DD5C6E">
        <w:rPr>
          <w:rFonts w:asciiTheme="majorHAnsi" w:eastAsia="Times New Roman" w:hAnsiTheme="majorHAnsi" w:cs="Times New Roman"/>
          <w:color w:val="333333"/>
          <w:sz w:val="22"/>
          <w:szCs w:val="22"/>
        </w:rPr>
        <w:t xml:space="preserve"> meses de la primera presentación del </w:t>
      </w:r>
      <w:r w:rsidR="006A1741" w:rsidRPr="00DD5C6E">
        <w:rPr>
          <w:rFonts w:asciiTheme="majorHAnsi" w:eastAsia="Times New Roman" w:hAnsiTheme="majorHAnsi" w:cs="Times New Roman"/>
          <w:color w:val="333333"/>
          <w:sz w:val="22"/>
          <w:szCs w:val="22"/>
        </w:rPr>
        <w:t>informe</w:t>
      </w:r>
      <w:r w:rsidRPr="00DD5C6E">
        <w:rPr>
          <w:rFonts w:asciiTheme="majorHAnsi" w:eastAsia="Times New Roman" w:hAnsiTheme="majorHAnsi" w:cs="Times New Roman"/>
          <w:color w:val="333333"/>
          <w:sz w:val="22"/>
          <w:szCs w:val="22"/>
        </w:rPr>
        <w:t xml:space="preserve">, </w:t>
      </w:r>
      <w:r w:rsidR="00DB0499" w:rsidRPr="00DD5C6E">
        <w:rPr>
          <w:rFonts w:asciiTheme="majorHAnsi" w:eastAsia="Times New Roman" w:hAnsiTheme="majorHAnsi" w:cs="Times New Roman"/>
          <w:color w:val="333333"/>
          <w:sz w:val="22"/>
          <w:szCs w:val="22"/>
        </w:rPr>
        <w:t xml:space="preserve">no hay cambios sustantivos en la situación de la migración en México. </w:t>
      </w:r>
      <w:r w:rsidRPr="00DD5C6E">
        <w:rPr>
          <w:rFonts w:asciiTheme="majorHAnsi" w:eastAsia="Times New Roman" w:hAnsiTheme="majorHAnsi" w:cs="Times New Roman"/>
          <w:color w:val="333333"/>
          <w:sz w:val="22"/>
          <w:szCs w:val="22"/>
        </w:rPr>
        <w:t xml:space="preserve"> El flujo migratorio de centroamericanos, la mayoría con la intención de ir a </w:t>
      </w:r>
      <w:r w:rsidR="00DB0499" w:rsidRPr="00DD5C6E">
        <w:rPr>
          <w:rFonts w:asciiTheme="majorHAnsi" w:eastAsia="Times New Roman" w:hAnsiTheme="majorHAnsi" w:cs="Times New Roman"/>
          <w:color w:val="333333"/>
          <w:sz w:val="22"/>
          <w:szCs w:val="22"/>
        </w:rPr>
        <w:t xml:space="preserve">los </w:t>
      </w:r>
      <w:r w:rsidRPr="00DD5C6E">
        <w:rPr>
          <w:rFonts w:asciiTheme="majorHAnsi" w:eastAsia="Times New Roman" w:hAnsiTheme="majorHAnsi" w:cs="Times New Roman"/>
          <w:color w:val="333333"/>
          <w:sz w:val="22"/>
          <w:szCs w:val="22"/>
        </w:rPr>
        <w:t xml:space="preserve">Estados Unidos, se mantiene en términos similares al 2015. Los delitos contra migrantes siguen </w:t>
      </w:r>
      <w:r w:rsidR="00DB0499" w:rsidRPr="00DD5C6E">
        <w:rPr>
          <w:rFonts w:asciiTheme="majorHAnsi" w:eastAsia="Times New Roman" w:hAnsiTheme="majorHAnsi" w:cs="Times New Roman"/>
          <w:color w:val="333333"/>
          <w:sz w:val="22"/>
          <w:szCs w:val="22"/>
        </w:rPr>
        <w:t>siendo constantes</w:t>
      </w:r>
      <w:r w:rsidRPr="00DD5C6E">
        <w:rPr>
          <w:rFonts w:asciiTheme="majorHAnsi" w:eastAsia="Times New Roman" w:hAnsiTheme="majorHAnsi" w:cs="Times New Roman"/>
          <w:color w:val="333333"/>
          <w:sz w:val="22"/>
          <w:szCs w:val="22"/>
        </w:rPr>
        <w:t xml:space="preserve">, sin que sean debidamente investigados y sancionados. A pesar de que las autoridades han implementado algunos cambios relevantes “en papel”, </w:t>
      </w:r>
      <w:r w:rsidR="0033625D" w:rsidRPr="00DD5C6E">
        <w:rPr>
          <w:rFonts w:asciiTheme="majorHAnsi" w:eastAsia="Times New Roman" w:hAnsiTheme="majorHAnsi" w:cs="Times New Roman"/>
          <w:color w:val="333333"/>
          <w:sz w:val="22"/>
          <w:szCs w:val="22"/>
        </w:rPr>
        <w:t xml:space="preserve">como la puesta en marcha de la </w:t>
      </w:r>
      <w:r w:rsidR="00067E04" w:rsidRPr="00DD5C6E">
        <w:rPr>
          <w:rFonts w:asciiTheme="majorHAnsi" w:eastAsia="Times New Roman" w:hAnsiTheme="majorHAnsi" w:cs="Times New Roman"/>
          <w:color w:val="333333"/>
          <w:sz w:val="22"/>
          <w:szCs w:val="22"/>
        </w:rPr>
        <w:t>Unidad de Investigación de Delitos para Personas Migrantes y el Mecanismo de Apoyo Exterior Mexi</w:t>
      </w:r>
      <w:r w:rsidR="00067E04" w:rsidRPr="00DD5C6E">
        <w:rPr>
          <w:rFonts w:asciiTheme="majorHAnsi" w:eastAsia="Times New Roman" w:hAnsiTheme="majorHAnsi" w:cs="Times New Roman"/>
          <w:color w:val="333333"/>
          <w:sz w:val="22"/>
          <w:szCs w:val="22"/>
        </w:rPr>
        <w:t xml:space="preserve">cano de Búsqueda e Investigación </w:t>
      </w:r>
      <w:r w:rsidR="0033625D" w:rsidRPr="00DD5C6E">
        <w:rPr>
          <w:rFonts w:asciiTheme="majorHAnsi" w:eastAsia="Times New Roman" w:hAnsiTheme="majorHAnsi" w:cs="Times New Roman"/>
          <w:color w:val="333333"/>
          <w:sz w:val="22"/>
          <w:szCs w:val="22"/>
        </w:rPr>
        <w:t xml:space="preserve">por parte de la PGR, </w:t>
      </w:r>
      <w:r w:rsidRPr="00DD5C6E">
        <w:rPr>
          <w:rFonts w:asciiTheme="majorHAnsi" w:eastAsia="Times New Roman" w:hAnsiTheme="majorHAnsi" w:cs="Times New Roman"/>
          <w:color w:val="333333"/>
          <w:sz w:val="22"/>
          <w:szCs w:val="22"/>
        </w:rPr>
        <w:t>ello aún no se traduce en una mejora sustancial de la situación de los migrantes en el país ni en Coahuila, y tampoco en el avance en la investigación y sanción de abusos.</w:t>
      </w:r>
      <w:r w:rsidRPr="00DD5C6E">
        <w:rPr>
          <w:rFonts w:asciiTheme="majorHAnsi" w:eastAsia="Times New Roman" w:hAnsiTheme="majorHAnsi" w:cs="Times New Roman"/>
          <w:bCs/>
          <w:color w:val="333333"/>
          <w:sz w:val="22"/>
          <w:szCs w:val="22"/>
          <w:lang w:val="es-MX"/>
        </w:rPr>
        <w:t xml:space="preserve"> </w:t>
      </w:r>
    </w:p>
    <w:p w14:paraId="12D35FBC" w14:textId="77777777" w:rsidR="002F6542" w:rsidRPr="00DD5C6E" w:rsidRDefault="002F6542" w:rsidP="00224BE0">
      <w:pPr>
        <w:shd w:val="clear" w:color="auto" w:fill="FFFFFF"/>
        <w:jc w:val="both"/>
        <w:rPr>
          <w:rFonts w:asciiTheme="majorHAnsi" w:eastAsia="Times New Roman" w:hAnsiTheme="majorHAnsi" w:cs="Times New Roman"/>
          <w:bCs/>
          <w:color w:val="333333"/>
          <w:sz w:val="22"/>
          <w:szCs w:val="22"/>
          <w:lang w:val="es-MX"/>
        </w:rPr>
      </w:pPr>
    </w:p>
    <w:p w14:paraId="520C5ECD" w14:textId="18F0C052"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bCs/>
          <w:color w:val="333333"/>
          <w:sz w:val="22"/>
          <w:szCs w:val="22"/>
          <w:lang w:val="es-MX"/>
        </w:rPr>
        <w:t xml:space="preserve">A continuación se presenta una actualizacíón de la información del </w:t>
      </w:r>
      <w:r w:rsidR="006A1741" w:rsidRPr="00DD5C6E">
        <w:rPr>
          <w:rFonts w:asciiTheme="majorHAnsi" w:eastAsia="Times New Roman" w:hAnsiTheme="majorHAnsi" w:cs="Times New Roman"/>
          <w:bCs/>
          <w:color w:val="333333"/>
          <w:sz w:val="22"/>
          <w:szCs w:val="22"/>
          <w:lang w:val="es-MX"/>
        </w:rPr>
        <w:t>informe</w:t>
      </w:r>
      <w:r w:rsidRPr="00DD5C6E">
        <w:rPr>
          <w:rFonts w:asciiTheme="majorHAnsi" w:eastAsia="Times New Roman" w:hAnsiTheme="majorHAnsi" w:cs="Times New Roman"/>
          <w:bCs/>
          <w:color w:val="333333"/>
          <w:sz w:val="22"/>
          <w:szCs w:val="22"/>
          <w:lang w:val="es-MX"/>
        </w:rPr>
        <w:t xml:space="preserve"> </w:t>
      </w:r>
      <w:r w:rsidRPr="00DD5C6E">
        <w:rPr>
          <w:rFonts w:asciiTheme="majorHAnsi" w:eastAsia="Times New Roman" w:hAnsiTheme="majorHAnsi" w:cs="Times New Roman"/>
          <w:bCs/>
          <w:i/>
          <w:color w:val="333333"/>
          <w:sz w:val="22"/>
          <w:szCs w:val="22"/>
          <w:lang w:val="es-MX"/>
        </w:rPr>
        <w:t>Un camino incierto</w:t>
      </w:r>
      <w:r w:rsidRPr="00DD5C6E">
        <w:rPr>
          <w:rFonts w:asciiTheme="majorHAnsi" w:eastAsia="Times New Roman" w:hAnsiTheme="majorHAnsi" w:cs="Times New Roman"/>
          <w:bCs/>
          <w:color w:val="333333"/>
          <w:sz w:val="22"/>
          <w:szCs w:val="22"/>
          <w:lang w:val="es-MX"/>
        </w:rPr>
        <w:t xml:space="preserve">, </w:t>
      </w:r>
      <w:r w:rsidR="00186F0E" w:rsidRPr="00DD5C6E">
        <w:rPr>
          <w:rFonts w:asciiTheme="majorHAnsi" w:eastAsia="Times New Roman" w:hAnsiTheme="majorHAnsi" w:cs="Times New Roman"/>
          <w:bCs/>
          <w:color w:val="333333"/>
          <w:sz w:val="22"/>
          <w:szCs w:val="22"/>
          <w:lang w:val="es-MX"/>
        </w:rPr>
        <w:t>con información al mes de jul</w:t>
      </w:r>
      <w:r w:rsidRPr="00DD5C6E">
        <w:rPr>
          <w:rFonts w:asciiTheme="majorHAnsi" w:eastAsia="Times New Roman" w:hAnsiTheme="majorHAnsi" w:cs="Times New Roman"/>
          <w:bCs/>
          <w:color w:val="333333"/>
          <w:sz w:val="22"/>
          <w:szCs w:val="22"/>
          <w:lang w:val="es-MX"/>
        </w:rPr>
        <w:t xml:space="preserve">io de 2016. </w:t>
      </w:r>
    </w:p>
    <w:p w14:paraId="3F9DBE75"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21A05C22" w14:textId="3B20CFA5"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b/>
          <w:color w:val="333333"/>
          <w:sz w:val="22"/>
          <w:szCs w:val="22"/>
        </w:rPr>
        <w:t xml:space="preserve">1. Detenciones y deportaciones: </w:t>
      </w:r>
      <w:r w:rsidRPr="00DD5C6E">
        <w:rPr>
          <w:rFonts w:asciiTheme="majorHAnsi" w:eastAsia="Times New Roman" w:hAnsiTheme="majorHAnsi" w:cs="Times New Roman"/>
          <w:color w:val="333333"/>
          <w:sz w:val="22"/>
          <w:szCs w:val="22"/>
        </w:rPr>
        <w:t xml:space="preserve">en México y en </w:t>
      </w:r>
      <w:r w:rsidR="00DB0499" w:rsidRPr="00DD5C6E">
        <w:rPr>
          <w:rFonts w:asciiTheme="majorHAnsi" w:eastAsia="Times New Roman" w:hAnsiTheme="majorHAnsi" w:cs="Times New Roman"/>
          <w:color w:val="333333"/>
          <w:sz w:val="22"/>
          <w:szCs w:val="22"/>
        </w:rPr>
        <w:t xml:space="preserve">los </w:t>
      </w:r>
      <w:r w:rsidRPr="00DD5C6E">
        <w:rPr>
          <w:rFonts w:asciiTheme="majorHAnsi" w:eastAsia="Times New Roman" w:hAnsiTheme="majorHAnsi" w:cs="Times New Roman"/>
          <w:color w:val="333333"/>
          <w:sz w:val="22"/>
          <w:szCs w:val="22"/>
        </w:rPr>
        <w:t>Estados Unidos las detenciones y deportaciones</w:t>
      </w:r>
      <w:r w:rsidRPr="00DD5C6E">
        <w:rPr>
          <w:rFonts w:asciiTheme="majorHAnsi" w:eastAsia="Times New Roman" w:hAnsiTheme="majorHAnsi" w:cs="Times New Roman"/>
          <w:b/>
          <w:color w:val="333333"/>
          <w:sz w:val="22"/>
          <w:szCs w:val="22"/>
        </w:rPr>
        <w:t xml:space="preserve"> </w:t>
      </w:r>
      <w:r w:rsidRPr="00DD5C6E">
        <w:rPr>
          <w:rFonts w:asciiTheme="majorHAnsi" w:eastAsia="Times New Roman" w:hAnsiTheme="majorHAnsi" w:cs="Times New Roman"/>
          <w:color w:val="333333"/>
          <w:sz w:val="22"/>
          <w:szCs w:val="22"/>
        </w:rPr>
        <w:t xml:space="preserve">se han mantenido en los mismos niveles altos que en el año 2015. </w:t>
      </w:r>
      <w:r w:rsidR="00807DC8" w:rsidRPr="00DD5C6E">
        <w:rPr>
          <w:rFonts w:asciiTheme="majorHAnsi" w:eastAsia="Times New Roman" w:hAnsiTheme="majorHAnsi" w:cs="Times New Roman"/>
          <w:color w:val="333333"/>
          <w:sz w:val="22"/>
          <w:szCs w:val="22"/>
        </w:rPr>
        <w:t>Entre julio de 2014 y junio de 2015 Estados Unidos detuvo a 148,229 migrantes no mexicanos, la mayoría centroamericanos, en su frontera y 186,922 entre julio de 2015 y junio de 2016.</w:t>
      </w:r>
      <w:r w:rsidR="00807DC8" w:rsidRPr="00DD5C6E">
        <w:rPr>
          <w:rStyle w:val="Refdenotaalpie"/>
          <w:rFonts w:asciiTheme="majorHAnsi" w:eastAsia="Times New Roman" w:hAnsiTheme="majorHAnsi" w:cs="Times New Roman"/>
          <w:color w:val="333333"/>
          <w:sz w:val="22"/>
          <w:szCs w:val="22"/>
        </w:rPr>
        <w:footnoteReference w:id="3"/>
      </w:r>
      <w:r w:rsidR="00807DC8" w:rsidRPr="00DD5C6E">
        <w:rPr>
          <w:rFonts w:asciiTheme="majorHAnsi" w:eastAsia="Times New Roman" w:hAnsiTheme="majorHAnsi" w:cs="Times New Roman"/>
          <w:color w:val="333333"/>
          <w:sz w:val="22"/>
          <w:szCs w:val="22"/>
        </w:rPr>
        <w:t xml:space="preserve"> Como se ve en la tabla, en estos mismos periodos México también detuvo altos números de centroamericanos, incluso entre julio de 2014 y junio de 2015 México detuvo más centroamericanos que los Estados Unidos. Estos</w:t>
      </w:r>
      <w:r w:rsidRPr="00DD5C6E">
        <w:rPr>
          <w:rFonts w:asciiTheme="majorHAnsi" w:eastAsia="Times New Roman" w:hAnsiTheme="majorHAnsi" w:cs="Times New Roman"/>
          <w:color w:val="333333"/>
          <w:sz w:val="22"/>
          <w:szCs w:val="22"/>
        </w:rPr>
        <w:t xml:space="preserve"> números sugieren que México continúa conteniendo el flujo de personas migrantes</w:t>
      </w:r>
      <w:r w:rsidR="00807DC8" w:rsidRPr="00DD5C6E">
        <w:rPr>
          <w:rFonts w:asciiTheme="majorHAnsi" w:eastAsia="Times New Roman" w:hAnsiTheme="majorHAnsi" w:cs="Times New Roman"/>
          <w:color w:val="333333"/>
          <w:sz w:val="22"/>
          <w:szCs w:val="22"/>
        </w:rPr>
        <w:t>, impidiendo a muchos llegar a la frontera de los Estados Unidos</w:t>
      </w:r>
      <w:proofErr w:type="gramStart"/>
      <w:r w:rsidR="00807DC8" w:rsidRPr="00DD5C6E">
        <w:rPr>
          <w:rFonts w:asciiTheme="majorHAnsi" w:eastAsia="Times New Roman" w:hAnsiTheme="majorHAnsi" w:cs="Times New Roman"/>
          <w:color w:val="333333"/>
          <w:sz w:val="22"/>
          <w:szCs w:val="22"/>
        </w:rPr>
        <w:t>.</w:t>
      </w:r>
      <w:r w:rsidRPr="00DD5C6E">
        <w:rPr>
          <w:rFonts w:asciiTheme="majorHAnsi" w:eastAsia="Times New Roman" w:hAnsiTheme="majorHAnsi" w:cs="Times New Roman"/>
          <w:color w:val="333333"/>
          <w:sz w:val="22"/>
          <w:szCs w:val="22"/>
        </w:rPr>
        <w:t>.</w:t>
      </w:r>
      <w:proofErr w:type="gramEnd"/>
      <w:r w:rsidRPr="00DD5C6E">
        <w:rPr>
          <w:rFonts w:asciiTheme="majorHAnsi" w:eastAsia="Times New Roman" w:hAnsiTheme="majorHAnsi" w:cs="Times New Roman"/>
          <w:color w:val="333333"/>
          <w:sz w:val="22"/>
          <w:szCs w:val="22"/>
        </w:rPr>
        <w:t xml:space="preserve"> Las autoridades migratorias mexicanas calculan, en esta nueva “situación normal”</w:t>
      </w:r>
      <w:r w:rsidR="0058525A" w:rsidRPr="00DD5C6E">
        <w:rPr>
          <w:rFonts w:asciiTheme="majorHAnsi" w:eastAsia="Times New Roman" w:hAnsiTheme="majorHAnsi" w:cs="Times New Roman"/>
          <w:color w:val="333333"/>
          <w:sz w:val="22"/>
          <w:szCs w:val="22"/>
        </w:rPr>
        <w:t>,</w:t>
      </w:r>
      <w:r w:rsidRPr="00DD5C6E">
        <w:rPr>
          <w:rFonts w:asciiTheme="majorHAnsi" w:eastAsia="Times New Roman" w:hAnsiTheme="majorHAnsi" w:cs="Times New Roman"/>
          <w:color w:val="333333"/>
          <w:sz w:val="22"/>
          <w:szCs w:val="22"/>
        </w:rPr>
        <w:t xml:space="preserve"> un flujo de entre 400 y 450 mil migrantes que atraviesan el país de manera irregular.</w:t>
      </w:r>
      <w:r w:rsidRPr="00DD5C6E">
        <w:rPr>
          <w:rFonts w:asciiTheme="majorHAnsi" w:eastAsia="Times New Roman" w:hAnsiTheme="majorHAnsi" w:cs="Times New Roman"/>
          <w:color w:val="333333"/>
          <w:sz w:val="22"/>
          <w:szCs w:val="22"/>
          <w:vertAlign w:val="superscript"/>
        </w:rPr>
        <w:footnoteReference w:id="4"/>
      </w:r>
    </w:p>
    <w:p w14:paraId="1FFB3EB9"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tbl>
      <w:tblPr>
        <w:tblStyle w:val="Tablaconcuadrcula"/>
        <w:tblW w:w="0" w:type="auto"/>
        <w:jc w:val="center"/>
        <w:tblInd w:w="360" w:type="dxa"/>
        <w:tblLook w:val="04A0" w:firstRow="1" w:lastRow="0" w:firstColumn="1" w:lastColumn="0" w:noHBand="0" w:noVBand="1"/>
      </w:tblPr>
      <w:tblGrid>
        <w:gridCol w:w="3614"/>
        <w:gridCol w:w="1412"/>
        <w:gridCol w:w="1735"/>
        <w:gridCol w:w="1735"/>
      </w:tblGrid>
      <w:tr w:rsidR="00224BE0" w:rsidRPr="00DD5C6E" w14:paraId="5CDBC565" w14:textId="77777777" w:rsidTr="002F6542">
        <w:trPr>
          <w:jc w:val="center"/>
        </w:trPr>
        <w:tc>
          <w:tcPr>
            <w:tcW w:w="8496" w:type="dxa"/>
            <w:gridSpan w:val="4"/>
          </w:tcPr>
          <w:p w14:paraId="04A205CB"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Detenciones y deportaciones en México,</w:t>
            </w:r>
          </w:p>
          <w:p w14:paraId="56C4F444" w14:textId="31EB8E33"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Julio 2013 – junio 2016</w:t>
            </w:r>
            <w:r w:rsidR="00DB0499" w:rsidRPr="00DD5C6E">
              <w:rPr>
                <w:rStyle w:val="Refdenotaalpie"/>
                <w:rFonts w:asciiTheme="majorHAnsi" w:eastAsia="Times New Roman" w:hAnsiTheme="majorHAnsi" w:cs="Times New Roman"/>
                <w:color w:val="333333"/>
                <w:sz w:val="22"/>
                <w:szCs w:val="22"/>
              </w:rPr>
              <w:footnoteReference w:id="5"/>
            </w:r>
          </w:p>
        </w:tc>
      </w:tr>
      <w:tr w:rsidR="00224BE0" w:rsidRPr="00DD5C6E" w14:paraId="34C729EF" w14:textId="77777777" w:rsidTr="002F6542">
        <w:trPr>
          <w:jc w:val="center"/>
        </w:trPr>
        <w:tc>
          <w:tcPr>
            <w:tcW w:w="3614" w:type="dxa"/>
          </w:tcPr>
          <w:p w14:paraId="763094B8"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tc>
        <w:tc>
          <w:tcPr>
            <w:tcW w:w="1412" w:type="dxa"/>
          </w:tcPr>
          <w:p w14:paraId="40C65FAA"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Julio 2013 – junio 2014</w:t>
            </w:r>
          </w:p>
        </w:tc>
        <w:tc>
          <w:tcPr>
            <w:tcW w:w="1735" w:type="dxa"/>
          </w:tcPr>
          <w:p w14:paraId="1550CA50" w14:textId="77777777" w:rsidR="00224BE0" w:rsidRPr="00DD5C6E" w:rsidRDefault="00224BE0" w:rsidP="007244BA">
            <w:pPr>
              <w:shd w:val="clear" w:color="auto" w:fill="FFFFFF"/>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Julio 2014 – junio 2015</w:t>
            </w:r>
          </w:p>
        </w:tc>
        <w:tc>
          <w:tcPr>
            <w:tcW w:w="1735" w:type="dxa"/>
          </w:tcPr>
          <w:p w14:paraId="576E1276" w14:textId="77777777" w:rsidR="00224BE0" w:rsidRPr="00DD5C6E" w:rsidRDefault="00224BE0" w:rsidP="007244BA">
            <w:pPr>
              <w:shd w:val="clear" w:color="auto" w:fill="FFFFFF"/>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Julio 2015 – junio 2016</w:t>
            </w:r>
          </w:p>
        </w:tc>
      </w:tr>
      <w:tr w:rsidR="00224BE0" w:rsidRPr="00DD5C6E" w14:paraId="43403791" w14:textId="77777777" w:rsidTr="002F6542">
        <w:trPr>
          <w:jc w:val="center"/>
        </w:trPr>
        <w:tc>
          <w:tcPr>
            <w:tcW w:w="3614" w:type="dxa"/>
          </w:tcPr>
          <w:p w14:paraId="57A09355"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Detenciones total</w:t>
            </w:r>
          </w:p>
        </w:tc>
        <w:tc>
          <w:tcPr>
            <w:tcW w:w="1412" w:type="dxa"/>
          </w:tcPr>
          <w:p w14:paraId="46411818" w14:textId="13CF201D" w:rsidR="00224BE0" w:rsidRPr="00DD5C6E" w:rsidRDefault="00A45D7D"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108,250</w:t>
            </w:r>
          </w:p>
        </w:tc>
        <w:tc>
          <w:tcPr>
            <w:tcW w:w="1735" w:type="dxa"/>
          </w:tcPr>
          <w:p w14:paraId="4A461FFE"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168,280</w:t>
            </w:r>
          </w:p>
        </w:tc>
        <w:tc>
          <w:tcPr>
            <w:tcW w:w="1735" w:type="dxa"/>
          </w:tcPr>
          <w:p w14:paraId="7F4633DA"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177,379</w:t>
            </w:r>
          </w:p>
        </w:tc>
      </w:tr>
      <w:tr w:rsidR="00224BE0" w:rsidRPr="00DD5C6E" w14:paraId="6FB18DFA" w14:textId="77777777" w:rsidTr="002F6542">
        <w:trPr>
          <w:jc w:val="center"/>
        </w:trPr>
        <w:tc>
          <w:tcPr>
            <w:tcW w:w="3614" w:type="dxa"/>
          </w:tcPr>
          <w:p w14:paraId="11A09BCE"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Detenciones de centroamericanos</w:t>
            </w:r>
          </w:p>
        </w:tc>
        <w:tc>
          <w:tcPr>
            <w:tcW w:w="1412" w:type="dxa"/>
          </w:tcPr>
          <w:p w14:paraId="5985F76A" w14:textId="472592FE" w:rsidR="00224BE0" w:rsidRPr="00DD5C6E" w:rsidRDefault="00A45D7D"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91,905</w:t>
            </w:r>
          </w:p>
        </w:tc>
        <w:tc>
          <w:tcPr>
            <w:tcW w:w="1735" w:type="dxa"/>
          </w:tcPr>
          <w:p w14:paraId="03718596"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156,992</w:t>
            </w:r>
          </w:p>
        </w:tc>
        <w:tc>
          <w:tcPr>
            <w:tcW w:w="1735" w:type="dxa"/>
          </w:tcPr>
          <w:p w14:paraId="351E8A6F"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155,124</w:t>
            </w:r>
          </w:p>
        </w:tc>
      </w:tr>
      <w:tr w:rsidR="00224BE0" w:rsidRPr="00DD5C6E" w14:paraId="481F3AA4" w14:textId="77777777" w:rsidTr="002F6542">
        <w:trPr>
          <w:jc w:val="center"/>
        </w:trPr>
        <w:tc>
          <w:tcPr>
            <w:tcW w:w="3614" w:type="dxa"/>
          </w:tcPr>
          <w:p w14:paraId="18CBFB82"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Deportaciones total</w:t>
            </w:r>
          </w:p>
        </w:tc>
        <w:tc>
          <w:tcPr>
            <w:tcW w:w="1412" w:type="dxa"/>
          </w:tcPr>
          <w:p w14:paraId="647C5BAD" w14:textId="0C0FB6BB" w:rsidR="00224BE0" w:rsidRPr="00DD5C6E" w:rsidRDefault="00A45D7D"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86,692</w:t>
            </w:r>
          </w:p>
        </w:tc>
        <w:tc>
          <w:tcPr>
            <w:tcW w:w="1735" w:type="dxa"/>
          </w:tcPr>
          <w:p w14:paraId="11D5F78F"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141,290</w:t>
            </w:r>
          </w:p>
        </w:tc>
        <w:tc>
          <w:tcPr>
            <w:tcW w:w="1735" w:type="dxa"/>
          </w:tcPr>
          <w:p w14:paraId="5886D827"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141,261</w:t>
            </w:r>
          </w:p>
        </w:tc>
      </w:tr>
      <w:tr w:rsidR="00224BE0" w:rsidRPr="00DD5C6E" w14:paraId="4B629FD9" w14:textId="77777777" w:rsidTr="002F6542">
        <w:trPr>
          <w:jc w:val="center"/>
        </w:trPr>
        <w:tc>
          <w:tcPr>
            <w:tcW w:w="3614" w:type="dxa"/>
          </w:tcPr>
          <w:p w14:paraId="711983AF"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Deportaciones de centroamericanos</w:t>
            </w:r>
          </w:p>
        </w:tc>
        <w:tc>
          <w:tcPr>
            <w:tcW w:w="1412" w:type="dxa"/>
          </w:tcPr>
          <w:p w14:paraId="7ADDD62B" w14:textId="0784FC49" w:rsidR="00224BE0" w:rsidRPr="00DD5C6E" w:rsidRDefault="00A45D7D"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84,457</w:t>
            </w:r>
          </w:p>
        </w:tc>
        <w:tc>
          <w:tcPr>
            <w:tcW w:w="1735" w:type="dxa"/>
          </w:tcPr>
          <w:p w14:paraId="2B6E2ABB"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138,451</w:t>
            </w:r>
          </w:p>
        </w:tc>
        <w:tc>
          <w:tcPr>
            <w:tcW w:w="1735" w:type="dxa"/>
          </w:tcPr>
          <w:p w14:paraId="3C6A0C32"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136,572</w:t>
            </w:r>
          </w:p>
        </w:tc>
      </w:tr>
    </w:tbl>
    <w:p w14:paraId="489C8C2C"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38BA5970" w14:textId="4AF868AE" w:rsidR="00224BE0" w:rsidRPr="00DD5C6E" w:rsidRDefault="00224BE0" w:rsidP="00224BE0">
      <w:pPr>
        <w:shd w:val="clear" w:color="auto" w:fill="FFFFFF"/>
        <w:jc w:val="both"/>
        <w:rPr>
          <w:rFonts w:asciiTheme="majorHAnsi" w:eastAsia="Times New Roman" w:hAnsiTheme="majorHAnsi" w:cs="Times New Roman"/>
          <w:color w:val="333333"/>
          <w:sz w:val="22"/>
          <w:szCs w:val="22"/>
          <w:lang w:val="es-MX"/>
        </w:rPr>
      </w:pPr>
      <w:r w:rsidRPr="00DD5C6E">
        <w:rPr>
          <w:rFonts w:asciiTheme="majorHAnsi" w:eastAsia="Times New Roman" w:hAnsiTheme="majorHAnsi" w:cs="Times New Roman"/>
          <w:b/>
          <w:color w:val="333333"/>
          <w:sz w:val="22"/>
          <w:szCs w:val="22"/>
        </w:rPr>
        <w:t>2. Operativos de revisión migratoria</w:t>
      </w:r>
      <w:r w:rsidR="0033625D" w:rsidRPr="00DD5C6E">
        <w:rPr>
          <w:rStyle w:val="Refdenotaalpie"/>
          <w:rFonts w:asciiTheme="majorHAnsi" w:eastAsia="Times New Roman" w:hAnsiTheme="majorHAnsi" w:cs="Times New Roman"/>
          <w:b/>
          <w:color w:val="333333"/>
          <w:sz w:val="22"/>
          <w:szCs w:val="22"/>
        </w:rPr>
        <w:footnoteReference w:id="6"/>
      </w:r>
      <w:r w:rsidRPr="00DD5C6E">
        <w:rPr>
          <w:rFonts w:asciiTheme="majorHAnsi" w:eastAsia="Times New Roman" w:hAnsiTheme="majorHAnsi" w:cs="Times New Roman"/>
          <w:b/>
          <w:color w:val="333333"/>
          <w:sz w:val="22"/>
          <w:szCs w:val="22"/>
        </w:rPr>
        <w:t xml:space="preserve">: </w:t>
      </w:r>
      <w:r w:rsidRPr="00DD5C6E">
        <w:rPr>
          <w:rFonts w:asciiTheme="majorHAnsi" w:eastAsia="Times New Roman" w:hAnsiTheme="majorHAnsi" w:cs="Times New Roman"/>
          <w:color w:val="333333"/>
          <w:sz w:val="22"/>
          <w:szCs w:val="22"/>
        </w:rPr>
        <w:t xml:space="preserve">Los operativos migratorios se mantienen </w:t>
      </w:r>
      <w:r w:rsidR="00807DC8" w:rsidRPr="00DD5C6E">
        <w:rPr>
          <w:rFonts w:asciiTheme="majorHAnsi" w:eastAsia="Times New Roman" w:hAnsiTheme="majorHAnsi" w:cs="Times New Roman"/>
          <w:color w:val="333333"/>
          <w:sz w:val="22"/>
          <w:szCs w:val="22"/>
        </w:rPr>
        <w:t xml:space="preserve">constantes </w:t>
      </w:r>
      <w:r w:rsidRPr="00DD5C6E">
        <w:rPr>
          <w:rFonts w:asciiTheme="majorHAnsi" w:eastAsia="Times New Roman" w:hAnsiTheme="majorHAnsi" w:cs="Times New Roman"/>
          <w:color w:val="333333"/>
          <w:sz w:val="22"/>
          <w:szCs w:val="22"/>
        </w:rPr>
        <w:t>y concentrados en la parte sur del país. Entre enero y junio de 2016 el Instituto Nacional de Migración (INM)</w:t>
      </w:r>
      <w:r w:rsidRPr="00DD5C6E">
        <w:rPr>
          <w:rFonts w:asciiTheme="majorHAnsi" w:eastAsia="Times New Roman" w:hAnsiTheme="majorHAnsi" w:cs="Times New Roman"/>
          <w:color w:val="333333"/>
          <w:sz w:val="22"/>
          <w:szCs w:val="22"/>
          <w:lang w:val="es-MX"/>
        </w:rPr>
        <w:t xml:space="preserve"> ha realizado 17,343 operativos, de los cuales</w:t>
      </w:r>
      <w:r w:rsidR="00807DC8" w:rsidRPr="00DD5C6E">
        <w:rPr>
          <w:rFonts w:asciiTheme="majorHAnsi" w:eastAsia="Times New Roman" w:hAnsiTheme="majorHAnsi" w:cs="Times New Roman"/>
          <w:color w:val="333333"/>
          <w:sz w:val="22"/>
          <w:szCs w:val="22"/>
          <w:lang w:val="es-MX"/>
        </w:rPr>
        <w:t xml:space="preserve"> fueron</w:t>
      </w:r>
      <w:r w:rsidRPr="00DD5C6E">
        <w:rPr>
          <w:rFonts w:asciiTheme="majorHAnsi" w:eastAsia="Times New Roman" w:hAnsiTheme="majorHAnsi" w:cs="Times New Roman"/>
          <w:color w:val="333333"/>
          <w:sz w:val="22"/>
          <w:szCs w:val="22"/>
          <w:lang w:val="es-MX"/>
        </w:rPr>
        <w:t>:</w:t>
      </w:r>
    </w:p>
    <w:p w14:paraId="6005F547" w14:textId="77777777" w:rsidR="00224BE0" w:rsidRPr="00DD5C6E" w:rsidRDefault="00224BE0" w:rsidP="00186F0E">
      <w:pPr>
        <w:numPr>
          <w:ilvl w:val="0"/>
          <w:numId w:val="2"/>
        </w:numPr>
        <w:shd w:val="clear" w:color="auto" w:fill="FFFFFF"/>
        <w:ind w:left="567"/>
        <w:jc w:val="both"/>
        <w:rPr>
          <w:rFonts w:asciiTheme="majorHAnsi" w:eastAsia="Times New Roman" w:hAnsiTheme="majorHAnsi" w:cs="Times New Roman"/>
          <w:color w:val="333333"/>
          <w:sz w:val="22"/>
          <w:szCs w:val="22"/>
          <w:lang w:val="es-MX"/>
        </w:rPr>
      </w:pPr>
      <w:r w:rsidRPr="00DD5C6E">
        <w:rPr>
          <w:rFonts w:asciiTheme="majorHAnsi" w:eastAsia="Times New Roman" w:hAnsiTheme="majorHAnsi" w:cs="Times New Roman"/>
          <w:color w:val="333333"/>
          <w:sz w:val="22"/>
          <w:szCs w:val="22"/>
          <w:lang w:val="es-MX"/>
        </w:rPr>
        <w:t xml:space="preserve">11,401 operativos en Chiapas, Oaxaca, Veracruz, Tabasco y Guerrero. </w:t>
      </w:r>
    </w:p>
    <w:p w14:paraId="5F9F8B98" w14:textId="77777777" w:rsidR="00224BE0" w:rsidRPr="00DD5C6E" w:rsidRDefault="00224BE0" w:rsidP="00186F0E">
      <w:pPr>
        <w:numPr>
          <w:ilvl w:val="0"/>
          <w:numId w:val="2"/>
        </w:numPr>
        <w:shd w:val="clear" w:color="auto" w:fill="FFFFFF"/>
        <w:ind w:left="567"/>
        <w:jc w:val="both"/>
        <w:rPr>
          <w:rFonts w:asciiTheme="majorHAnsi" w:eastAsia="Times New Roman" w:hAnsiTheme="majorHAnsi" w:cs="Times New Roman"/>
          <w:color w:val="333333"/>
          <w:sz w:val="22"/>
          <w:szCs w:val="22"/>
          <w:lang w:val="es-MX"/>
        </w:rPr>
      </w:pPr>
      <w:r w:rsidRPr="00DD5C6E">
        <w:rPr>
          <w:rFonts w:asciiTheme="majorHAnsi" w:eastAsia="Times New Roman" w:hAnsiTheme="majorHAnsi" w:cs="Times New Roman"/>
          <w:color w:val="333333"/>
          <w:sz w:val="22"/>
          <w:szCs w:val="22"/>
          <w:lang w:val="es-MX"/>
        </w:rPr>
        <w:t xml:space="preserve">570 operativos en Coahuila, casi 100 cada mes. </w:t>
      </w:r>
    </w:p>
    <w:p w14:paraId="06BB2827"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55002327" w14:textId="7905BC76"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b/>
          <w:color w:val="333333"/>
          <w:sz w:val="22"/>
          <w:szCs w:val="22"/>
        </w:rPr>
        <w:lastRenderedPageBreak/>
        <w:t>3. Presupuesto</w:t>
      </w:r>
      <w:r w:rsidR="00024CFB" w:rsidRPr="00DD5C6E">
        <w:rPr>
          <w:rStyle w:val="Refdenotaalpie"/>
          <w:rFonts w:asciiTheme="majorHAnsi" w:eastAsia="Times New Roman" w:hAnsiTheme="majorHAnsi" w:cs="Times New Roman"/>
          <w:b/>
          <w:color w:val="333333"/>
          <w:sz w:val="22"/>
          <w:szCs w:val="22"/>
        </w:rPr>
        <w:footnoteReference w:id="7"/>
      </w:r>
      <w:r w:rsidRPr="00DD5C6E">
        <w:rPr>
          <w:rFonts w:asciiTheme="majorHAnsi" w:eastAsia="Times New Roman" w:hAnsiTheme="majorHAnsi" w:cs="Times New Roman"/>
          <w:b/>
          <w:color w:val="333333"/>
          <w:sz w:val="22"/>
          <w:szCs w:val="22"/>
        </w:rPr>
        <w:t>:</w:t>
      </w:r>
      <w:r w:rsidRPr="00DD5C6E">
        <w:rPr>
          <w:rFonts w:asciiTheme="majorHAnsi" w:eastAsia="Times New Roman" w:hAnsiTheme="majorHAnsi" w:cs="Times New Roman"/>
          <w:color w:val="333333"/>
          <w:sz w:val="22"/>
          <w:szCs w:val="22"/>
        </w:rPr>
        <w:t xml:space="preserve"> El presupuesto asignado al INM ha disminuido</w:t>
      </w:r>
      <w:r w:rsidR="007244BA" w:rsidRPr="00DD5C6E">
        <w:rPr>
          <w:rFonts w:asciiTheme="majorHAnsi" w:eastAsia="Times New Roman" w:hAnsiTheme="majorHAnsi" w:cs="Times New Roman"/>
          <w:color w:val="333333"/>
          <w:sz w:val="22"/>
          <w:szCs w:val="22"/>
        </w:rPr>
        <w:t xml:space="preserve"> en los últimos años,</w:t>
      </w:r>
      <w:r w:rsidRPr="00DD5C6E">
        <w:rPr>
          <w:rFonts w:asciiTheme="majorHAnsi" w:eastAsia="Times New Roman" w:hAnsiTheme="majorHAnsi" w:cs="Times New Roman"/>
          <w:color w:val="333333"/>
          <w:sz w:val="22"/>
          <w:szCs w:val="22"/>
        </w:rPr>
        <w:t xml:space="preserve"> pero el gasto ha aumentado, a la par que los operativos y </w:t>
      </w:r>
      <w:r w:rsidR="007244BA" w:rsidRPr="00DD5C6E">
        <w:rPr>
          <w:rFonts w:asciiTheme="majorHAnsi" w:eastAsia="Times New Roman" w:hAnsiTheme="majorHAnsi" w:cs="Times New Roman"/>
          <w:color w:val="333333"/>
          <w:sz w:val="22"/>
          <w:szCs w:val="22"/>
        </w:rPr>
        <w:t xml:space="preserve">las </w:t>
      </w:r>
      <w:r w:rsidRPr="00DD5C6E">
        <w:rPr>
          <w:rFonts w:asciiTheme="majorHAnsi" w:eastAsia="Times New Roman" w:hAnsiTheme="majorHAnsi" w:cs="Times New Roman"/>
          <w:color w:val="333333"/>
          <w:sz w:val="22"/>
          <w:szCs w:val="22"/>
        </w:rPr>
        <w:t>detenciones. Por otro lado, la Comisión Mexicana de Ayuda a</w:t>
      </w:r>
      <w:r w:rsidR="007244BA" w:rsidRPr="00DD5C6E">
        <w:rPr>
          <w:rFonts w:asciiTheme="majorHAnsi" w:eastAsia="Times New Roman" w:hAnsiTheme="majorHAnsi" w:cs="Times New Roman"/>
          <w:color w:val="333333"/>
          <w:sz w:val="22"/>
          <w:szCs w:val="22"/>
        </w:rPr>
        <w:t xml:space="preserve"> Refugiados de México (COMAR) sigue sin contar con los</w:t>
      </w:r>
      <w:r w:rsidRPr="00DD5C6E">
        <w:rPr>
          <w:rFonts w:asciiTheme="majorHAnsi" w:eastAsia="Times New Roman" w:hAnsiTheme="majorHAnsi" w:cs="Times New Roman"/>
          <w:color w:val="333333"/>
          <w:sz w:val="22"/>
          <w:szCs w:val="22"/>
        </w:rPr>
        <w:t xml:space="preserve"> recursos suficientes para </w:t>
      </w:r>
      <w:r w:rsidR="007244BA" w:rsidRPr="00DD5C6E">
        <w:rPr>
          <w:rFonts w:asciiTheme="majorHAnsi" w:eastAsia="Times New Roman" w:hAnsiTheme="majorHAnsi" w:cs="Times New Roman"/>
          <w:color w:val="333333"/>
          <w:sz w:val="22"/>
          <w:szCs w:val="22"/>
        </w:rPr>
        <w:t xml:space="preserve">atender a las </w:t>
      </w:r>
      <w:r w:rsidRPr="00DD5C6E">
        <w:rPr>
          <w:rFonts w:asciiTheme="majorHAnsi" w:eastAsia="Times New Roman" w:hAnsiTheme="majorHAnsi" w:cs="Times New Roman"/>
          <w:color w:val="333333"/>
          <w:sz w:val="22"/>
          <w:szCs w:val="22"/>
        </w:rPr>
        <w:t xml:space="preserve">personas </w:t>
      </w:r>
      <w:r w:rsidR="007244BA" w:rsidRPr="00DD5C6E">
        <w:rPr>
          <w:rFonts w:asciiTheme="majorHAnsi" w:eastAsia="Times New Roman" w:hAnsiTheme="majorHAnsi" w:cs="Times New Roman"/>
          <w:color w:val="333333"/>
          <w:sz w:val="22"/>
          <w:szCs w:val="22"/>
        </w:rPr>
        <w:t>que necesitan protección internacional</w:t>
      </w:r>
      <w:r w:rsidRPr="00DD5C6E">
        <w:rPr>
          <w:rFonts w:asciiTheme="majorHAnsi" w:eastAsia="Times New Roman" w:hAnsiTheme="majorHAnsi" w:cs="Times New Roman"/>
          <w:color w:val="333333"/>
          <w:sz w:val="22"/>
          <w:szCs w:val="22"/>
        </w:rPr>
        <w:t xml:space="preserve"> en México. </w:t>
      </w:r>
    </w:p>
    <w:p w14:paraId="1204CAC5" w14:textId="77777777" w:rsidR="007244BA" w:rsidRPr="00DD5C6E" w:rsidRDefault="007244BA" w:rsidP="00224BE0">
      <w:pPr>
        <w:shd w:val="clear" w:color="auto" w:fill="FFFFFF"/>
        <w:jc w:val="both"/>
        <w:rPr>
          <w:rFonts w:asciiTheme="majorHAnsi" w:eastAsia="Times New Roman" w:hAnsiTheme="majorHAnsi" w:cs="Times New Roman"/>
          <w:color w:val="333333"/>
          <w:sz w:val="22"/>
          <w:szCs w:val="22"/>
        </w:rPr>
      </w:pPr>
    </w:p>
    <w:tbl>
      <w:tblPr>
        <w:tblStyle w:val="Tablaconcuadrcula"/>
        <w:tblW w:w="9541" w:type="dxa"/>
        <w:tblInd w:w="-880" w:type="dxa"/>
        <w:tblLook w:val="04A0" w:firstRow="1" w:lastRow="0" w:firstColumn="1" w:lastColumn="0" w:noHBand="0" w:noVBand="1"/>
      </w:tblPr>
      <w:tblGrid>
        <w:gridCol w:w="1992"/>
        <w:gridCol w:w="1886"/>
        <w:gridCol w:w="1886"/>
        <w:gridCol w:w="1886"/>
        <w:gridCol w:w="1891"/>
      </w:tblGrid>
      <w:tr w:rsidR="007244BA" w:rsidRPr="00DD5C6E" w14:paraId="5199FCC2" w14:textId="77777777" w:rsidTr="007244BA">
        <w:trPr>
          <w:trHeight w:val="300"/>
        </w:trPr>
        <w:tc>
          <w:tcPr>
            <w:tcW w:w="9541" w:type="dxa"/>
            <w:gridSpan w:val="5"/>
            <w:noWrap/>
          </w:tcPr>
          <w:p w14:paraId="4ED80DE5" w14:textId="70FDDA08" w:rsidR="007244BA" w:rsidRPr="00DD5C6E" w:rsidRDefault="007244BA" w:rsidP="009E60EC">
            <w:pPr>
              <w:rPr>
                <w:rFonts w:asciiTheme="majorHAnsi" w:hAnsiTheme="majorHAnsi"/>
                <w:b/>
                <w:sz w:val="22"/>
                <w:szCs w:val="22"/>
              </w:rPr>
            </w:pPr>
            <w:r w:rsidRPr="00DD5C6E">
              <w:rPr>
                <w:rFonts w:asciiTheme="majorHAnsi" w:hAnsiTheme="majorHAnsi"/>
                <w:b/>
                <w:sz w:val="22"/>
                <w:szCs w:val="22"/>
              </w:rPr>
              <w:t>Gasto del Inst</w:t>
            </w:r>
            <w:r w:rsidR="00DD5C6E">
              <w:rPr>
                <w:rFonts w:asciiTheme="majorHAnsi" w:hAnsiTheme="majorHAnsi"/>
                <w:b/>
                <w:sz w:val="22"/>
                <w:szCs w:val="22"/>
              </w:rPr>
              <w:t>ituto Nacional de Migración 2012</w:t>
            </w:r>
            <w:r w:rsidRPr="00DD5C6E">
              <w:rPr>
                <w:rFonts w:asciiTheme="majorHAnsi" w:hAnsiTheme="majorHAnsi"/>
                <w:b/>
                <w:sz w:val="22"/>
                <w:szCs w:val="22"/>
              </w:rPr>
              <w:t>-2015 (presupuesto ejercido</w:t>
            </w:r>
            <w:r w:rsidR="00DD5C6E">
              <w:rPr>
                <w:rFonts w:asciiTheme="majorHAnsi" w:hAnsiTheme="majorHAnsi"/>
                <w:b/>
                <w:sz w:val="22"/>
                <w:szCs w:val="22"/>
              </w:rPr>
              <w:t xml:space="preserve"> en pesos constantes</w:t>
            </w:r>
            <w:r w:rsidRPr="00DD5C6E">
              <w:rPr>
                <w:rFonts w:asciiTheme="majorHAnsi" w:hAnsiTheme="majorHAnsi"/>
                <w:b/>
                <w:sz w:val="22"/>
                <w:szCs w:val="22"/>
              </w:rPr>
              <w:t>)</w:t>
            </w:r>
          </w:p>
        </w:tc>
      </w:tr>
      <w:tr w:rsidR="007244BA" w:rsidRPr="00DD5C6E" w14:paraId="69CC048E" w14:textId="77777777" w:rsidTr="007244BA">
        <w:trPr>
          <w:trHeight w:val="300"/>
        </w:trPr>
        <w:tc>
          <w:tcPr>
            <w:tcW w:w="1992" w:type="dxa"/>
            <w:noWrap/>
            <w:hideMark/>
          </w:tcPr>
          <w:p w14:paraId="793C3144"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 xml:space="preserve">Ramo 04 Gobernación </w:t>
            </w:r>
          </w:p>
        </w:tc>
        <w:tc>
          <w:tcPr>
            <w:tcW w:w="1886" w:type="dxa"/>
            <w:noWrap/>
            <w:hideMark/>
          </w:tcPr>
          <w:p w14:paraId="153AED59"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2012</w:t>
            </w:r>
          </w:p>
        </w:tc>
        <w:tc>
          <w:tcPr>
            <w:tcW w:w="1886" w:type="dxa"/>
            <w:noWrap/>
            <w:hideMark/>
          </w:tcPr>
          <w:p w14:paraId="10B03B8A"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2013</w:t>
            </w:r>
          </w:p>
        </w:tc>
        <w:tc>
          <w:tcPr>
            <w:tcW w:w="1886" w:type="dxa"/>
            <w:noWrap/>
            <w:hideMark/>
          </w:tcPr>
          <w:p w14:paraId="53E8C631"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2014</w:t>
            </w:r>
          </w:p>
        </w:tc>
        <w:tc>
          <w:tcPr>
            <w:tcW w:w="1891" w:type="dxa"/>
            <w:noWrap/>
            <w:hideMark/>
          </w:tcPr>
          <w:p w14:paraId="24083452"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2015 (año base =100)</w:t>
            </w:r>
          </w:p>
        </w:tc>
      </w:tr>
      <w:tr w:rsidR="007244BA" w:rsidRPr="00DD5C6E" w14:paraId="5344D0A2" w14:textId="77777777" w:rsidTr="007244BA">
        <w:trPr>
          <w:trHeight w:val="300"/>
        </w:trPr>
        <w:tc>
          <w:tcPr>
            <w:tcW w:w="1992" w:type="dxa"/>
            <w:noWrap/>
            <w:hideMark/>
          </w:tcPr>
          <w:p w14:paraId="52D7A276"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E008 Servicios migratorios en fronteras, puertos y aeropuertos (INM)</w:t>
            </w:r>
          </w:p>
        </w:tc>
        <w:tc>
          <w:tcPr>
            <w:tcW w:w="1886" w:type="dxa"/>
            <w:noWrap/>
            <w:hideMark/>
          </w:tcPr>
          <w:p w14:paraId="358071C5"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$3,453,209,272</w:t>
            </w:r>
          </w:p>
        </w:tc>
        <w:tc>
          <w:tcPr>
            <w:tcW w:w="1886" w:type="dxa"/>
            <w:noWrap/>
            <w:hideMark/>
          </w:tcPr>
          <w:p w14:paraId="1B99516F"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$3,328,461,797</w:t>
            </w:r>
          </w:p>
        </w:tc>
        <w:tc>
          <w:tcPr>
            <w:tcW w:w="1886" w:type="dxa"/>
            <w:noWrap/>
            <w:hideMark/>
          </w:tcPr>
          <w:p w14:paraId="63D5D202"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$3,637,782,705</w:t>
            </w:r>
          </w:p>
        </w:tc>
        <w:tc>
          <w:tcPr>
            <w:tcW w:w="1891" w:type="dxa"/>
            <w:noWrap/>
            <w:hideMark/>
          </w:tcPr>
          <w:p w14:paraId="1CE689E5" w14:textId="77777777" w:rsidR="007244BA" w:rsidRPr="00DD5C6E" w:rsidRDefault="007244BA" w:rsidP="009E60EC">
            <w:pPr>
              <w:rPr>
                <w:rFonts w:asciiTheme="majorHAnsi" w:hAnsiTheme="majorHAnsi"/>
                <w:sz w:val="22"/>
                <w:szCs w:val="22"/>
              </w:rPr>
            </w:pPr>
            <w:r w:rsidRPr="00DD5C6E">
              <w:rPr>
                <w:rFonts w:asciiTheme="majorHAnsi" w:hAnsiTheme="majorHAnsi"/>
                <w:sz w:val="22"/>
                <w:szCs w:val="22"/>
              </w:rPr>
              <w:t>$4,143,000,000</w:t>
            </w:r>
          </w:p>
        </w:tc>
      </w:tr>
    </w:tbl>
    <w:p w14:paraId="015177D9"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44D569FA" w14:textId="77777777" w:rsidR="007244BA" w:rsidRPr="00DD5C6E" w:rsidRDefault="007244BA" w:rsidP="00224BE0">
      <w:pPr>
        <w:shd w:val="clear" w:color="auto" w:fill="FFFFFF"/>
        <w:jc w:val="both"/>
        <w:rPr>
          <w:rFonts w:asciiTheme="majorHAnsi" w:eastAsia="Times New Roman" w:hAnsiTheme="majorHAnsi" w:cs="Times New Roman"/>
          <w:color w:val="333333"/>
          <w:sz w:val="22"/>
          <w:szCs w:val="22"/>
        </w:rPr>
      </w:pPr>
    </w:p>
    <w:p w14:paraId="2D6F69CB" w14:textId="4D55D379"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b/>
          <w:color w:val="333333"/>
          <w:sz w:val="22"/>
          <w:szCs w:val="22"/>
        </w:rPr>
        <w:t>4. Solicitudes de asilo</w:t>
      </w:r>
      <w:r w:rsidR="00024CFB" w:rsidRPr="00DD5C6E">
        <w:rPr>
          <w:rStyle w:val="Refdenotaalpie"/>
          <w:rFonts w:asciiTheme="majorHAnsi" w:eastAsia="Times New Roman" w:hAnsiTheme="majorHAnsi" w:cs="Times New Roman"/>
          <w:b/>
          <w:color w:val="333333"/>
          <w:sz w:val="22"/>
          <w:szCs w:val="22"/>
        </w:rPr>
        <w:footnoteReference w:id="8"/>
      </w:r>
      <w:r w:rsidRPr="00DD5C6E">
        <w:rPr>
          <w:rFonts w:asciiTheme="majorHAnsi" w:eastAsia="Times New Roman" w:hAnsiTheme="majorHAnsi" w:cs="Times New Roman"/>
          <w:b/>
          <w:color w:val="333333"/>
          <w:sz w:val="22"/>
          <w:szCs w:val="22"/>
        </w:rPr>
        <w:t xml:space="preserve">: </w:t>
      </w:r>
      <w:r w:rsidRPr="00DD5C6E">
        <w:rPr>
          <w:rFonts w:asciiTheme="majorHAnsi" w:eastAsia="Times New Roman" w:hAnsiTheme="majorHAnsi" w:cs="Times New Roman"/>
          <w:color w:val="333333"/>
          <w:sz w:val="22"/>
          <w:szCs w:val="22"/>
        </w:rPr>
        <w:t xml:space="preserve">las solicitudes y reconocimientos de asilo siguen en aumento, sin que las capacidades institucionales sean suficientes para las necesidades de protección internacional de las personas migrantes que solicitan asilo en México. </w:t>
      </w:r>
    </w:p>
    <w:p w14:paraId="263A5FCC"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tbl>
      <w:tblPr>
        <w:tblStyle w:val="Tablaconcuadrcula"/>
        <w:tblW w:w="7669" w:type="dxa"/>
        <w:jc w:val="center"/>
        <w:tblLook w:val="04A0" w:firstRow="1" w:lastRow="0" w:firstColumn="1" w:lastColumn="0" w:noHBand="0" w:noVBand="1"/>
      </w:tblPr>
      <w:tblGrid>
        <w:gridCol w:w="2405"/>
        <w:gridCol w:w="1161"/>
        <w:gridCol w:w="1162"/>
        <w:gridCol w:w="1162"/>
        <w:gridCol w:w="1779"/>
      </w:tblGrid>
      <w:tr w:rsidR="00224BE0" w:rsidRPr="00DD5C6E" w14:paraId="686AA68A" w14:textId="77777777" w:rsidTr="00224BE0">
        <w:trPr>
          <w:trHeight w:val="236"/>
          <w:jc w:val="center"/>
        </w:trPr>
        <w:tc>
          <w:tcPr>
            <w:tcW w:w="7669" w:type="dxa"/>
            <w:gridSpan w:val="5"/>
          </w:tcPr>
          <w:p w14:paraId="2879EC4A"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Solicitudes y otorgamientos de asilo 2013 – abril 2016</w:t>
            </w:r>
          </w:p>
        </w:tc>
      </w:tr>
      <w:tr w:rsidR="00224BE0" w:rsidRPr="00DD5C6E" w14:paraId="3EBD13F9" w14:textId="77777777" w:rsidTr="00224BE0">
        <w:trPr>
          <w:trHeight w:val="236"/>
          <w:jc w:val="center"/>
        </w:trPr>
        <w:tc>
          <w:tcPr>
            <w:tcW w:w="2332" w:type="dxa"/>
          </w:tcPr>
          <w:p w14:paraId="5E83E18C"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tc>
        <w:tc>
          <w:tcPr>
            <w:tcW w:w="1175" w:type="dxa"/>
          </w:tcPr>
          <w:p w14:paraId="04709F1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2013</w:t>
            </w:r>
          </w:p>
        </w:tc>
        <w:tc>
          <w:tcPr>
            <w:tcW w:w="1176" w:type="dxa"/>
          </w:tcPr>
          <w:p w14:paraId="6F94DA8C"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2014</w:t>
            </w:r>
          </w:p>
        </w:tc>
        <w:tc>
          <w:tcPr>
            <w:tcW w:w="1176" w:type="dxa"/>
          </w:tcPr>
          <w:p w14:paraId="3C9123D9"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2015</w:t>
            </w:r>
          </w:p>
        </w:tc>
        <w:tc>
          <w:tcPr>
            <w:tcW w:w="1810" w:type="dxa"/>
          </w:tcPr>
          <w:p w14:paraId="27190065" w14:textId="77777777" w:rsidR="002F6542"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2016</w:t>
            </w:r>
          </w:p>
          <w:p w14:paraId="0530DDE4"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(enero-abril)</w:t>
            </w:r>
          </w:p>
        </w:tc>
      </w:tr>
      <w:tr w:rsidR="00224BE0" w:rsidRPr="00DD5C6E" w14:paraId="766A511A" w14:textId="77777777" w:rsidTr="00224BE0">
        <w:trPr>
          <w:trHeight w:val="225"/>
          <w:jc w:val="center"/>
        </w:trPr>
        <w:tc>
          <w:tcPr>
            <w:tcW w:w="2332" w:type="dxa"/>
          </w:tcPr>
          <w:p w14:paraId="76B40E5F"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Solicitudes</w:t>
            </w:r>
          </w:p>
        </w:tc>
        <w:tc>
          <w:tcPr>
            <w:tcW w:w="1175" w:type="dxa"/>
          </w:tcPr>
          <w:p w14:paraId="74984752"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1,296</w:t>
            </w:r>
          </w:p>
        </w:tc>
        <w:tc>
          <w:tcPr>
            <w:tcW w:w="1176" w:type="dxa"/>
          </w:tcPr>
          <w:p w14:paraId="10F51BE3"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2,137</w:t>
            </w:r>
          </w:p>
        </w:tc>
        <w:tc>
          <w:tcPr>
            <w:tcW w:w="1176" w:type="dxa"/>
          </w:tcPr>
          <w:p w14:paraId="263B9A20"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3,423</w:t>
            </w:r>
          </w:p>
        </w:tc>
        <w:tc>
          <w:tcPr>
            <w:tcW w:w="1810" w:type="dxa"/>
          </w:tcPr>
          <w:p w14:paraId="57947C1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2,100</w:t>
            </w:r>
          </w:p>
        </w:tc>
      </w:tr>
      <w:tr w:rsidR="00224BE0" w:rsidRPr="00DD5C6E" w14:paraId="2904C63D" w14:textId="77777777" w:rsidTr="00224BE0">
        <w:trPr>
          <w:trHeight w:val="236"/>
          <w:jc w:val="center"/>
        </w:trPr>
        <w:tc>
          <w:tcPr>
            <w:tcW w:w="2332" w:type="dxa"/>
          </w:tcPr>
          <w:p w14:paraId="67B65A37"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Reconocidas</w:t>
            </w:r>
          </w:p>
        </w:tc>
        <w:tc>
          <w:tcPr>
            <w:tcW w:w="1175" w:type="dxa"/>
          </w:tcPr>
          <w:p w14:paraId="59AFCEEA"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270</w:t>
            </w:r>
          </w:p>
        </w:tc>
        <w:tc>
          <w:tcPr>
            <w:tcW w:w="1176" w:type="dxa"/>
          </w:tcPr>
          <w:p w14:paraId="48A1C62B"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451</w:t>
            </w:r>
          </w:p>
        </w:tc>
        <w:tc>
          <w:tcPr>
            <w:tcW w:w="1176" w:type="dxa"/>
          </w:tcPr>
          <w:p w14:paraId="013C2D53"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940</w:t>
            </w:r>
          </w:p>
        </w:tc>
        <w:tc>
          <w:tcPr>
            <w:tcW w:w="1810" w:type="dxa"/>
          </w:tcPr>
          <w:p w14:paraId="7CA38A7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786</w:t>
            </w:r>
          </w:p>
        </w:tc>
      </w:tr>
      <w:tr w:rsidR="00224BE0" w:rsidRPr="00DD5C6E" w14:paraId="348D8EE3" w14:textId="77777777" w:rsidTr="00224BE0">
        <w:trPr>
          <w:trHeight w:val="236"/>
          <w:jc w:val="center"/>
        </w:trPr>
        <w:tc>
          <w:tcPr>
            <w:tcW w:w="2332" w:type="dxa"/>
          </w:tcPr>
          <w:p w14:paraId="3735D5AC"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No reconocidas</w:t>
            </w:r>
          </w:p>
        </w:tc>
        <w:tc>
          <w:tcPr>
            <w:tcW w:w="1175" w:type="dxa"/>
          </w:tcPr>
          <w:p w14:paraId="2752F436"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455</w:t>
            </w:r>
          </w:p>
        </w:tc>
        <w:tc>
          <w:tcPr>
            <w:tcW w:w="1176" w:type="dxa"/>
          </w:tcPr>
          <w:p w14:paraId="346F9575"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840</w:t>
            </w:r>
          </w:p>
        </w:tc>
        <w:tc>
          <w:tcPr>
            <w:tcW w:w="1176" w:type="dxa"/>
          </w:tcPr>
          <w:p w14:paraId="37C57B2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1301</w:t>
            </w:r>
          </w:p>
        </w:tc>
        <w:tc>
          <w:tcPr>
            <w:tcW w:w="1810" w:type="dxa"/>
          </w:tcPr>
          <w:p w14:paraId="2E1346B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551</w:t>
            </w:r>
          </w:p>
        </w:tc>
      </w:tr>
      <w:tr w:rsidR="00224BE0" w:rsidRPr="00DD5C6E" w14:paraId="1A1EC6CF" w14:textId="77777777" w:rsidTr="00224BE0">
        <w:trPr>
          <w:trHeight w:val="236"/>
          <w:jc w:val="center"/>
        </w:trPr>
        <w:tc>
          <w:tcPr>
            <w:tcW w:w="2332" w:type="dxa"/>
          </w:tcPr>
          <w:p w14:paraId="35AF6638"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Abandonadas/desistidas</w:t>
            </w:r>
          </w:p>
        </w:tc>
        <w:tc>
          <w:tcPr>
            <w:tcW w:w="1175" w:type="dxa"/>
          </w:tcPr>
          <w:p w14:paraId="24F13E53"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543</w:t>
            </w:r>
          </w:p>
        </w:tc>
        <w:tc>
          <w:tcPr>
            <w:tcW w:w="1176" w:type="dxa"/>
          </w:tcPr>
          <w:p w14:paraId="55F0B0AC"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767</w:t>
            </w:r>
          </w:p>
        </w:tc>
        <w:tc>
          <w:tcPr>
            <w:tcW w:w="1176" w:type="dxa"/>
          </w:tcPr>
          <w:p w14:paraId="0DB68B02"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1029</w:t>
            </w:r>
          </w:p>
        </w:tc>
        <w:tc>
          <w:tcPr>
            <w:tcW w:w="1810" w:type="dxa"/>
          </w:tcPr>
          <w:p w14:paraId="2EFF7B02"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596</w:t>
            </w:r>
          </w:p>
        </w:tc>
      </w:tr>
      <w:tr w:rsidR="00224BE0" w:rsidRPr="00DD5C6E" w14:paraId="7DFF3EDD" w14:textId="77777777" w:rsidTr="00224BE0">
        <w:trPr>
          <w:trHeight w:val="236"/>
          <w:jc w:val="center"/>
        </w:trPr>
        <w:tc>
          <w:tcPr>
            <w:tcW w:w="2332" w:type="dxa"/>
          </w:tcPr>
          <w:p w14:paraId="29BDA6D4"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Protección complementaria</w:t>
            </w:r>
          </w:p>
        </w:tc>
        <w:tc>
          <w:tcPr>
            <w:tcW w:w="1175" w:type="dxa"/>
          </w:tcPr>
          <w:p w14:paraId="6BB5CC42"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28</w:t>
            </w:r>
          </w:p>
        </w:tc>
        <w:tc>
          <w:tcPr>
            <w:tcW w:w="1176" w:type="dxa"/>
          </w:tcPr>
          <w:p w14:paraId="3869F77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79</w:t>
            </w:r>
          </w:p>
        </w:tc>
        <w:tc>
          <w:tcPr>
            <w:tcW w:w="1176" w:type="dxa"/>
          </w:tcPr>
          <w:p w14:paraId="54484575"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153</w:t>
            </w:r>
          </w:p>
        </w:tc>
        <w:tc>
          <w:tcPr>
            <w:tcW w:w="1810" w:type="dxa"/>
          </w:tcPr>
          <w:p w14:paraId="739D8B8B"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142</w:t>
            </w:r>
          </w:p>
        </w:tc>
      </w:tr>
      <w:tr w:rsidR="00224BE0" w:rsidRPr="00DD5C6E" w14:paraId="3443F3EF" w14:textId="77777777" w:rsidTr="00224BE0">
        <w:trPr>
          <w:trHeight w:val="472"/>
          <w:jc w:val="center"/>
        </w:trPr>
        <w:tc>
          <w:tcPr>
            <w:tcW w:w="2332" w:type="dxa"/>
          </w:tcPr>
          <w:p w14:paraId="441BAFBA"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Reconocidas/total solicitudes</w:t>
            </w:r>
          </w:p>
        </w:tc>
        <w:tc>
          <w:tcPr>
            <w:tcW w:w="1175" w:type="dxa"/>
          </w:tcPr>
          <w:p w14:paraId="75314DC1"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20.8%</w:t>
            </w:r>
          </w:p>
        </w:tc>
        <w:tc>
          <w:tcPr>
            <w:tcW w:w="1176" w:type="dxa"/>
          </w:tcPr>
          <w:p w14:paraId="7F80E77C"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21.1%</w:t>
            </w:r>
          </w:p>
        </w:tc>
        <w:tc>
          <w:tcPr>
            <w:tcW w:w="1176" w:type="dxa"/>
          </w:tcPr>
          <w:p w14:paraId="0F3D825A"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27.5%</w:t>
            </w:r>
          </w:p>
        </w:tc>
        <w:tc>
          <w:tcPr>
            <w:tcW w:w="1810" w:type="dxa"/>
          </w:tcPr>
          <w:p w14:paraId="45BE6560"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37,4%</w:t>
            </w:r>
          </w:p>
        </w:tc>
      </w:tr>
    </w:tbl>
    <w:p w14:paraId="3507A17C"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00CAD902" w14:textId="5F83A56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b/>
          <w:color w:val="333333"/>
          <w:sz w:val="22"/>
          <w:szCs w:val="22"/>
        </w:rPr>
        <w:t>5. Estancias humanitarias</w:t>
      </w:r>
      <w:r w:rsidR="00024CFB" w:rsidRPr="00DD5C6E">
        <w:rPr>
          <w:rFonts w:asciiTheme="majorHAnsi" w:eastAsia="Times New Roman" w:hAnsiTheme="majorHAnsi" w:cs="Times New Roman"/>
          <w:color w:val="333333"/>
          <w:sz w:val="22"/>
          <w:szCs w:val="22"/>
        </w:rPr>
        <w:t>: h</w:t>
      </w:r>
      <w:r w:rsidRPr="00DD5C6E">
        <w:rPr>
          <w:rFonts w:asciiTheme="majorHAnsi" w:eastAsia="Times New Roman" w:hAnsiTheme="majorHAnsi" w:cs="Times New Roman"/>
          <w:color w:val="333333"/>
          <w:sz w:val="22"/>
          <w:szCs w:val="22"/>
        </w:rPr>
        <w:t xml:space="preserve">a aumentado el número de personas migrantes víctimas de delitos graves en México que han solicitado </w:t>
      </w:r>
      <w:r w:rsidR="00024CFB" w:rsidRPr="00DD5C6E">
        <w:rPr>
          <w:rFonts w:asciiTheme="majorHAnsi" w:eastAsia="Times New Roman" w:hAnsiTheme="majorHAnsi" w:cs="Times New Roman"/>
          <w:color w:val="333333"/>
          <w:sz w:val="22"/>
          <w:szCs w:val="22"/>
        </w:rPr>
        <w:t>la regularización por razones</w:t>
      </w:r>
      <w:r w:rsidRPr="00DD5C6E">
        <w:rPr>
          <w:rFonts w:asciiTheme="majorHAnsi" w:eastAsia="Times New Roman" w:hAnsiTheme="majorHAnsi" w:cs="Times New Roman"/>
          <w:color w:val="333333"/>
          <w:sz w:val="22"/>
          <w:szCs w:val="22"/>
        </w:rPr>
        <w:t xml:space="preserve"> humanitarias</w:t>
      </w:r>
      <w:r w:rsidR="00024CFB" w:rsidRPr="00DD5C6E">
        <w:rPr>
          <w:rFonts w:asciiTheme="majorHAnsi" w:eastAsia="Times New Roman" w:hAnsiTheme="majorHAnsi" w:cs="Times New Roman"/>
          <w:color w:val="333333"/>
          <w:sz w:val="22"/>
          <w:szCs w:val="22"/>
        </w:rPr>
        <w:t xml:space="preserve">. Las cifras del INM no permiten conocer la tasa de reconocimientos, porque no es público el número de solicitudes que reciben. </w:t>
      </w:r>
    </w:p>
    <w:p w14:paraId="00F3D5BB"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tbl>
      <w:tblPr>
        <w:tblStyle w:val="Tablaconcuadrcula"/>
        <w:tblW w:w="0" w:type="auto"/>
        <w:jc w:val="center"/>
        <w:tblInd w:w="392" w:type="dxa"/>
        <w:tblLook w:val="04A0" w:firstRow="1" w:lastRow="0" w:firstColumn="1" w:lastColumn="0" w:noHBand="0" w:noVBand="1"/>
      </w:tblPr>
      <w:tblGrid>
        <w:gridCol w:w="968"/>
        <w:gridCol w:w="868"/>
        <w:gridCol w:w="805"/>
        <w:gridCol w:w="2769"/>
        <w:gridCol w:w="2713"/>
      </w:tblGrid>
      <w:tr w:rsidR="00224BE0" w:rsidRPr="00DD5C6E" w14:paraId="33674770" w14:textId="77777777" w:rsidTr="006A160E">
        <w:trPr>
          <w:trHeight w:val="205"/>
          <w:jc w:val="center"/>
        </w:trPr>
        <w:tc>
          <w:tcPr>
            <w:tcW w:w="8123" w:type="dxa"/>
            <w:gridSpan w:val="5"/>
          </w:tcPr>
          <w:p w14:paraId="255B1CA9" w14:textId="4D944253"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Estancias humanitarias en México 2012- junio 2016</w:t>
            </w:r>
            <w:r w:rsidR="00B4178A">
              <w:rPr>
                <w:rStyle w:val="Refdenotaalpie"/>
                <w:rFonts w:asciiTheme="majorHAnsi" w:eastAsia="Times New Roman" w:hAnsiTheme="majorHAnsi" w:cs="Times New Roman"/>
                <w:b/>
                <w:color w:val="333333"/>
                <w:sz w:val="22"/>
                <w:szCs w:val="22"/>
              </w:rPr>
              <w:footnoteReference w:id="9"/>
            </w:r>
          </w:p>
        </w:tc>
      </w:tr>
      <w:tr w:rsidR="00224BE0" w:rsidRPr="00DD5C6E" w14:paraId="0A58333E" w14:textId="77777777" w:rsidTr="006A160E">
        <w:trPr>
          <w:trHeight w:val="214"/>
          <w:jc w:val="center"/>
        </w:trPr>
        <w:tc>
          <w:tcPr>
            <w:tcW w:w="968" w:type="dxa"/>
          </w:tcPr>
          <w:p w14:paraId="1C2C5C2F"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2012</w:t>
            </w:r>
          </w:p>
        </w:tc>
        <w:tc>
          <w:tcPr>
            <w:tcW w:w="868" w:type="dxa"/>
          </w:tcPr>
          <w:p w14:paraId="6CD933A7"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2013</w:t>
            </w:r>
          </w:p>
        </w:tc>
        <w:tc>
          <w:tcPr>
            <w:tcW w:w="805" w:type="dxa"/>
          </w:tcPr>
          <w:p w14:paraId="639F752E"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2014</w:t>
            </w:r>
          </w:p>
        </w:tc>
        <w:tc>
          <w:tcPr>
            <w:tcW w:w="2769" w:type="dxa"/>
          </w:tcPr>
          <w:p w14:paraId="775F5055"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2015</w:t>
            </w:r>
          </w:p>
        </w:tc>
        <w:tc>
          <w:tcPr>
            <w:tcW w:w="2713" w:type="dxa"/>
          </w:tcPr>
          <w:p w14:paraId="1E99B8EE"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Enero – junio 2016</w:t>
            </w:r>
          </w:p>
        </w:tc>
      </w:tr>
      <w:tr w:rsidR="00224BE0" w:rsidRPr="00DD5C6E" w14:paraId="7A326E9D" w14:textId="77777777" w:rsidTr="006A160E">
        <w:trPr>
          <w:trHeight w:val="214"/>
          <w:jc w:val="center"/>
        </w:trPr>
        <w:tc>
          <w:tcPr>
            <w:tcW w:w="968" w:type="dxa"/>
          </w:tcPr>
          <w:p w14:paraId="74B28E83"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108</w:t>
            </w:r>
          </w:p>
        </w:tc>
        <w:tc>
          <w:tcPr>
            <w:tcW w:w="868" w:type="dxa"/>
          </w:tcPr>
          <w:p w14:paraId="01123240"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277</w:t>
            </w:r>
          </w:p>
        </w:tc>
        <w:tc>
          <w:tcPr>
            <w:tcW w:w="805" w:type="dxa"/>
          </w:tcPr>
          <w:p w14:paraId="321E8210"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623</w:t>
            </w:r>
          </w:p>
        </w:tc>
        <w:tc>
          <w:tcPr>
            <w:tcW w:w="2769" w:type="dxa"/>
          </w:tcPr>
          <w:p w14:paraId="57707E39"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1375</w:t>
            </w:r>
          </w:p>
          <w:p w14:paraId="11A730F5"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(1202 centroamericanos)</w:t>
            </w:r>
          </w:p>
        </w:tc>
        <w:tc>
          <w:tcPr>
            <w:tcW w:w="2713" w:type="dxa"/>
          </w:tcPr>
          <w:p w14:paraId="560DD383"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1363</w:t>
            </w:r>
          </w:p>
          <w:p w14:paraId="6B781E61"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(1231 centroamericanos)</w:t>
            </w:r>
          </w:p>
        </w:tc>
      </w:tr>
    </w:tbl>
    <w:p w14:paraId="7BCA7524"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20FCECE0" w14:textId="74D8FFAF"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b/>
          <w:color w:val="333333"/>
          <w:sz w:val="22"/>
          <w:szCs w:val="22"/>
        </w:rPr>
        <w:t xml:space="preserve">6. Acceso a la justicia para migrantes: </w:t>
      </w:r>
      <w:r w:rsidR="00024CFB" w:rsidRPr="00DD5C6E">
        <w:rPr>
          <w:rFonts w:asciiTheme="majorHAnsi" w:eastAsia="Times New Roman" w:hAnsiTheme="majorHAnsi" w:cs="Times New Roman"/>
          <w:color w:val="333333"/>
          <w:sz w:val="22"/>
          <w:szCs w:val="22"/>
        </w:rPr>
        <w:t>e</w:t>
      </w:r>
      <w:r w:rsidRPr="00DD5C6E">
        <w:rPr>
          <w:rFonts w:asciiTheme="majorHAnsi" w:eastAsia="Times New Roman" w:hAnsiTheme="majorHAnsi" w:cs="Times New Roman"/>
          <w:color w:val="333333"/>
          <w:sz w:val="22"/>
          <w:szCs w:val="22"/>
        </w:rPr>
        <w:t xml:space="preserve">n junio de 2016 desapareció la Fiscalía Especializada para la Atención de Delitos Cometidos en agravio de Migrantes de Coahuila y se creó una </w:t>
      </w:r>
      <w:r w:rsidRPr="00DD5C6E">
        <w:rPr>
          <w:rFonts w:asciiTheme="majorHAnsi" w:eastAsia="Times New Roman" w:hAnsiTheme="majorHAnsi" w:cs="Times New Roman"/>
          <w:bCs/>
          <w:color w:val="333333"/>
          <w:sz w:val="22"/>
          <w:szCs w:val="22"/>
          <w:lang w:val="es-MX"/>
        </w:rPr>
        <w:lastRenderedPageBreak/>
        <w:t xml:space="preserve">Dirección General de Delitos de Alto Impacto y cometidos en agravio de Migrantes. Las razones de este cambio y los resultados de la Fiscalía durante casi </w:t>
      </w:r>
      <w:r w:rsidR="00807DC8" w:rsidRPr="00DD5C6E">
        <w:rPr>
          <w:rFonts w:asciiTheme="majorHAnsi" w:eastAsia="Times New Roman" w:hAnsiTheme="majorHAnsi" w:cs="Times New Roman"/>
          <w:bCs/>
          <w:color w:val="333333"/>
          <w:sz w:val="22"/>
          <w:szCs w:val="22"/>
          <w:lang w:val="es-MX"/>
        </w:rPr>
        <w:t>dos</w:t>
      </w:r>
      <w:r w:rsidRPr="00DD5C6E">
        <w:rPr>
          <w:rFonts w:asciiTheme="majorHAnsi" w:eastAsia="Times New Roman" w:hAnsiTheme="majorHAnsi" w:cs="Times New Roman"/>
          <w:bCs/>
          <w:color w:val="333333"/>
          <w:sz w:val="22"/>
          <w:szCs w:val="22"/>
          <w:lang w:val="es-MX"/>
        </w:rPr>
        <w:t xml:space="preserve"> años de trabajo no quedan claros aún.</w:t>
      </w:r>
    </w:p>
    <w:p w14:paraId="22181E86"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1257C9A8" w14:textId="672DEFE6" w:rsidR="00224BE0" w:rsidRPr="00DD5C6E" w:rsidRDefault="00024CFB"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Los delitos y </w:t>
      </w:r>
      <w:r w:rsidR="00224BE0" w:rsidRPr="00DD5C6E">
        <w:rPr>
          <w:rFonts w:asciiTheme="majorHAnsi" w:eastAsia="Times New Roman" w:hAnsiTheme="majorHAnsi" w:cs="Times New Roman"/>
          <w:color w:val="333333"/>
          <w:sz w:val="22"/>
          <w:szCs w:val="22"/>
        </w:rPr>
        <w:t>violaciones de derechos humanos contra migrantes en Coahuila siguen aumentando. 2016 se perfila como el año con el mayor número de delitos registrados en contra de migrantes</w:t>
      </w:r>
      <w:r w:rsidRPr="00DD5C6E">
        <w:rPr>
          <w:rFonts w:asciiTheme="majorHAnsi" w:eastAsia="Times New Roman" w:hAnsiTheme="majorHAnsi" w:cs="Times New Roman"/>
          <w:color w:val="333333"/>
          <w:sz w:val="22"/>
          <w:szCs w:val="22"/>
        </w:rPr>
        <w:t>,</w:t>
      </w:r>
      <w:r w:rsidR="00224BE0" w:rsidRPr="00DD5C6E">
        <w:rPr>
          <w:rFonts w:asciiTheme="majorHAnsi" w:eastAsia="Times New Roman" w:hAnsiTheme="majorHAnsi" w:cs="Times New Roman"/>
          <w:color w:val="333333"/>
          <w:sz w:val="22"/>
          <w:szCs w:val="22"/>
        </w:rPr>
        <w:t xml:space="preserve"> al menos desde 2013. </w:t>
      </w:r>
    </w:p>
    <w:p w14:paraId="4CDFF6BD"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 </w:t>
      </w:r>
    </w:p>
    <w:tbl>
      <w:tblPr>
        <w:tblStyle w:val="Tablaconcuadrcula"/>
        <w:tblW w:w="8568" w:type="dxa"/>
        <w:jc w:val="center"/>
        <w:tblLook w:val="04A0" w:firstRow="1" w:lastRow="0" w:firstColumn="1" w:lastColumn="0" w:noHBand="0" w:noVBand="1"/>
      </w:tblPr>
      <w:tblGrid>
        <w:gridCol w:w="1970"/>
        <w:gridCol w:w="1373"/>
        <w:gridCol w:w="942"/>
        <w:gridCol w:w="1479"/>
        <w:gridCol w:w="1691"/>
        <w:gridCol w:w="1113"/>
      </w:tblGrid>
      <w:tr w:rsidR="00224BE0" w:rsidRPr="00DD5C6E" w14:paraId="5751DCCC" w14:textId="77777777" w:rsidTr="002F6542">
        <w:trPr>
          <w:trHeight w:val="204"/>
          <w:jc w:val="center"/>
        </w:trPr>
        <w:tc>
          <w:tcPr>
            <w:tcW w:w="8568" w:type="dxa"/>
            <w:gridSpan w:val="6"/>
          </w:tcPr>
          <w:p w14:paraId="4709A027"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Delitos en contra de migrantes documentados por La Casa del Migrante Saltillo</w:t>
            </w:r>
          </w:p>
        </w:tc>
      </w:tr>
      <w:tr w:rsidR="002F6542" w:rsidRPr="00DD5C6E" w14:paraId="57A04703" w14:textId="77777777" w:rsidTr="002F6542">
        <w:trPr>
          <w:trHeight w:val="204"/>
          <w:jc w:val="center"/>
        </w:trPr>
        <w:tc>
          <w:tcPr>
            <w:tcW w:w="1970" w:type="dxa"/>
          </w:tcPr>
          <w:p w14:paraId="7A9055C6"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Año</w:t>
            </w:r>
          </w:p>
        </w:tc>
        <w:tc>
          <w:tcPr>
            <w:tcW w:w="1373" w:type="dxa"/>
          </w:tcPr>
          <w:p w14:paraId="0E377AB4"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Total de casos</w:t>
            </w:r>
          </w:p>
        </w:tc>
        <w:tc>
          <w:tcPr>
            <w:tcW w:w="942" w:type="dxa"/>
          </w:tcPr>
          <w:p w14:paraId="016B02EB"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Robo</w:t>
            </w:r>
          </w:p>
        </w:tc>
        <w:tc>
          <w:tcPr>
            <w:tcW w:w="1479" w:type="dxa"/>
          </w:tcPr>
          <w:p w14:paraId="015B9557"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Extorsión</w:t>
            </w:r>
          </w:p>
        </w:tc>
        <w:tc>
          <w:tcPr>
            <w:tcW w:w="1691" w:type="dxa"/>
          </w:tcPr>
          <w:p w14:paraId="317CE547"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Secuestros</w:t>
            </w:r>
          </w:p>
        </w:tc>
        <w:tc>
          <w:tcPr>
            <w:tcW w:w="1113" w:type="dxa"/>
          </w:tcPr>
          <w:p w14:paraId="1F749C63" w14:textId="77777777" w:rsidR="00224BE0" w:rsidRPr="00DD5C6E" w:rsidRDefault="00224BE0" w:rsidP="002F6542">
            <w:pPr>
              <w:shd w:val="clear" w:color="auto" w:fill="FFFFFF"/>
              <w:jc w:val="center"/>
              <w:rPr>
                <w:rFonts w:asciiTheme="majorHAnsi" w:eastAsia="Times New Roman" w:hAnsiTheme="majorHAnsi" w:cs="Times New Roman"/>
                <w:b/>
                <w:color w:val="333333"/>
                <w:sz w:val="22"/>
                <w:szCs w:val="22"/>
              </w:rPr>
            </w:pPr>
            <w:r w:rsidRPr="00DD5C6E">
              <w:rPr>
                <w:rFonts w:asciiTheme="majorHAnsi" w:eastAsia="Times New Roman" w:hAnsiTheme="majorHAnsi" w:cs="Times New Roman"/>
                <w:b/>
                <w:color w:val="333333"/>
                <w:sz w:val="22"/>
                <w:szCs w:val="22"/>
              </w:rPr>
              <w:t>Otros</w:t>
            </w:r>
          </w:p>
        </w:tc>
      </w:tr>
      <w:tr w:rsidR="002F6542" w:rsidRPr="00DD5C6E" w14:paraId="7D53C68E" w14:textId="77777777" w:rsidTr="002F6542">
        <w:trPr>
          <w:trHeight w:val="408"/>
          <w:jc w:val="center"/>
        </w:trPr>
        <w:tc>
          <w:tcPr>
            <w:tcW w:w="1970" w:type="dxa"/>
          </w:tcPr>
          <w:p w14:paraId="3AD11365"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2013</w:t>
            </w:r>
          </w:p>
          <w:p w14:paraId="01E1EF00"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(julio-diciembre)</w:t>
            </w:r>
          </w:p>
        </w:tc>
        <w:tc>
          <w:tcPr>
            <w:tcW w:w="1373" w:type="dxa"/>
          </w:tcPr>
          <w:p w14:paraId="539A764A"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113</w:t>
            </w:r>
          </w:p>
        </w:tc>
        <w:tc>
          <w:tcPr>
            <w:tcW w:w="942" w:type="dxa"/>
          </w:tcPr>
          <w:p w14:paraId="67B8E3E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26</w:t>
            </w:r>
          </w:p>
        </w:tc>
        <w:tc>
          <w:tcPr>
            <w:tcW w:w="1479" w:type="dxa"/>
          </w:tcPr>
          <w:p w14:paraId="3B0CF349"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38</w:t>
            </w:r>
          </w:p>
        </w:tc>
        <w:tc>
          <w:tcPr>
            <w:tcW w:w="1691" w:type="dxa"/>
          </w:tcPr>
          <w:p w14:paraId="7ADDF87B"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7</w:t>
            </w:r>
          </w:p>
        </w:tc>
        <w:tc>
          <w:tcPr>
            <w:tcW w:w="1113" w:type="dxa"/>
          </w:tcPr>
          <w:p w14:paraId="30927308" w14:textId="23B22910"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4</w:t>
            </w:r>
            <w:r w:rsidR="00222413" w:rsidRPr="00DD5C6E">
              <w:rPr>
                <w:rFonts w:asciiTheme="majorHAnsi" w:eastAsia="Times New Roman" w:hAnsiTheme="majorHAnsi" w:cs="Times New Roman"/>
                <w:color w:val="333333"/>
                <w:sz w:val="22"/>
                <w:szCs w:val="22"/>
              </w:rPr>
              <w:t>2</w:t>
            </w:r>
          </w:p>
        </w:tc>
      </w:tr>
      <w:tr w:rsidR="002F6542" w:rsidRPr="00DD5C6E" w14:paraId="5AF48A4F" w14:textId="77777777" w:rsidTr="002F6542">
        <w:trPr>
          <w:trHeight w:val="204"/>
          <w:jc w:val="center"/>
        </w:trPr>
        <w:tc>
          <w:tcPr>
            <w:tcW w:w="1970" w:type="dxa"/>
          </w:tcPr>
          <w:p w14:paraId="11F52ED3"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2014</w:t>
            </w:r>
          </w:p>
        </w:tc>
        <w:tc>
          <w:tcPr>
            <w:tcW w:w="1373" w:type="dxa"/>
          </w:tcPr>
          <w:p w14:paraId="0612043C"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149</w:t>
            </w:r>
          </w:p>
        </w:tc>
        <w:tc>
          <w:tcPr>
            <w:tcW w:w="942" w:type="dxa"/>
          </w:tcPr>
          <w:p w14:paraId="7C393262"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37</w:t>
            </w:r>
          </w:p>
        </w:tc>
        <w:tc>
          <w:tcPr>
            <w:tcW w:w="1479" w:type="dxa"/>
          </w:tcPr>
          <w:p w14:paraId="394EC978"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66</w:t>
            </w:r>
          </w:p>
        </w:tc>
        <w:tc>
          <w:tcPr>
            <w:tcW w:w="1691" w:type="dxa"/>
          </w:tcPr>
          <w:p w14:paraId="1E93E1C7"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15</w:t>
            </w:r>
          </w:p>
        </w:tc>
        <w:tc>
          <w:tcPr>
            <w:tcW w:w="1113" w:type="dxa"/>
          </w:tcPr>
          <w:p w14:paraId="2A495953" w14:textId="147B2ABB" w:rsidR="00224BE0" w:rsidRPr="00DD5C6E" w:rsidRDefault="00222413"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31</w:t>
            </w:r>
          </w:p>
        </w:tc>
      </w:tr>
      <w:tr w:rsidR="002F6542" w:rsidRPr="00DD5C6E" w14:paraId="13CC02D6" w14:textId="77777777" w:rsidTr="002F6542">
        <w:trPr>
          <w:trHeight w:val="204"/>
          <w:jc w:val="center"/>
        </w:trPr>
        <w:tc>
          <w:tcPr>
            <w:tcW w:w="1970" w:type="dxa"/>
          </w:tcPr>
          <w:p w14:paraId="726AEBA3"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2015</w:t>
            </w:r>
          </w:p>
        </w:tc>
        <w:tc>
          <w:tcPr>
            <w:tcW w:w="1373" w:type="dxa"/>
          </w:tcPr>
          <w:p w14:paraId="0ADEBE7C"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75</w:t>
            </w:r>
          </w:p>
        </w:tc>
        <w:tc>
          <w:tcPr>
            <w:tcW w:w="942" w:type="dxa"/>
          </w:tcPr>
          <w:p w14:paraId="1E3E4EAD"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w:t>
            </w:r>
          </w:p>
        </w:tc>
        <w:tc>
          <w:tcPr>
            <w:tcW w:w="1479" w:type="dxa"/>
          </w:tcPr>
          <w:p w14:paraId="575CFC17"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8</w:t>
            </w:r>
          </w:p>
        </w:tc>
        <w:tc>
          <w:tcPr>
            <w:tcW w:w="1691" w:type="dxa"/>
          </w:tcPr>
          <w:p w14:paraId="253FF5DE"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3</w:t>
            </w:r>
          </w:p>
        </w:tc>
        <w:tc>
          <w:tcPr>
            <w:tcW w:w="1113" w:type="dxa"/>
          </w:tcPr>
          <w:p w14:paraId="21C814A0" w14:textId="2E95792A" w:rsidR="00224BE0" w:rsidRPr="00DD5C6E" w:rsidRDefault="006A160E"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44</w:t>
            </w:r>
          </w:p>
        </w:tc>
      </w:tr>
      <w:tr w:rsidR="002F6542" w:rsidRPr="00DD5C6E" w14:paraId="504EE15A" w14:textId="77777777" w:rsidTr="002F6542">
        <w:trPr>
          <w:trHeight w:val="219"/>
          <w:jc w:val="center"/>
        </w:trPr>
        <w:tc>
          <w:tcPr>
            <w:tcW w:w="1970" w:type="dxa"/>
          </w:tcPr>
          <w:p w14:paraId="149594E0" w14:textId="3486947A"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Enero – </w:t>
            </w:r>
            <w:r w:rsidR="003F6927" w:rsidRPr="00DD5C6E">
              <w:rPr>
                <w:rFonts w:asciiTheme="majorHAnsi" w:eastAsia="Times New Roman" w:hAnsiTheme="majorHAnsi" w:cs="Times New Roman"/>
                <w:color w:val="333333"/>
                <w:sz w:val="22"/>
                <w:szCs w:val="22"/>
              </w:rPr>
              <w:t>15 de j</w:t>
            </w:r>
            <w:r w:rsidRPr="00DD5C6E">
              <w:rPr>
                <w:rFonts w:asciiTheme="majorHAnsi" w:eastAsia="Times New Roman" w:hAnsiTheme="majorHAnsi" w:cs="Times New Roman"/>
                <w:color w:val="333333"/>
                <w:sz w:val="22"/>
                <w:szCs w:val="22"/>
              </w:rPr>
              <w:t>ulio 2016</w:t>
            </w:r>
          </w:p>
        </w:tc>
        <w:tc>
          <w:tcPr>
            <w:tcW w:w="1373" w:type="dxa"/>
          </w:tcPr>
          <w:p w14:paraId="497D13A4"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148</w:t>
            </w:r>
          </w:p>
        </w:tc>
        <w:tc>
          <w:tcPr>
            <w:tcW w:w="942" w:type="dxa"/>
          </w:tcPr>
          <w:p w14:paraId="5E67523E"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77</w:t>
            </w:r>
          </w:p>
        </w:tc>
        <w:tc>
          <w:tcPr>
            <w:tcW w:w="1479" w:type="dxa"/>
          </w:tcPr>
          <w:p w14:paraId="3CCB024B" w14:textId="77777777" w:rsidR="00224BE0" w:rsidRPr="00DD5C6E" w:rsidRDefault="00224BE0"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13</w:t>
            </w:r>
          </w:p>
        </w:tc>
        <w:tc>
          <w:tcPr>
            <w:tcW w:w="1691" w:type="dxa"/>
          </w:tcPr>
          <w:p w14:paraId="5323D50E" w14:textId="33855A9A" w:rsidR="00224BE0" w:rsidRPr="00DD5C6E" w:rsidRDefault="006A160E"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20</w:t>
            </w:r>
          </w:p>
        </w:tc>
        <w:tc>
          <w:tcPr>
            <w:tcW w:w="1113" w:type="dxa"/>
          </w:tcPr>
          <w:p w14:paraId="20B163D0" w14:textId="57414E13" w:rsidR="00224BE0" w:rsidRPr="00DD5C6E" w:rsidRDefault="006A160E" w:rsidP="002F6542">
            <w:pPr>
              <w:shd w:val="clear" w:color="auto" w:fill="FFFFFF"/>
              <w:jc w:val="center"/>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3</w:t>
            </w:r>
            <w:r w:rsidR="00224BE0" w:rsidRPr="00DD5C6E">
              <w:rPr>
                <w:rFonts w:asciiTheme="majorHAnsi" w:eastAsia="Times New Roman" w:hAnsiTheme="majorHAnsi" w:cs="Times New Roman"/>
                <w:color w:val="333333"/>
                <w:sz w:val="22"/>
                <w:szCs w:val="22"/>
              </w:rPr>
              <w:t>8</w:t>
            </w:r>
          </w:p>
        </w:tc>
      </w:tr>
    </w:tbl>
    <w:p w14:paraId="7D281BC6" w14:textId="77777777" w:rsidR="00224BE0" w:rsidRPr="00DD5C6E" w:rsidRDefault="00224BE0" w:rsidP="00224BE0">
      <w:pPr>
        <w:shd w:val="clear" w:color="auto" w:fill="FFFFFF"/>
        <w:jc w:val="both"/>
        <w:rPr>
          <w:rFonts w:asciiTheme="majorHAnsi" w:eastAsia="Times New Roman" w:hAnsiTheme="majorHAnsi" w:cs="Times New Roman"/>
          <w:b/>
          <w:color w:val="333333"/>
          <w:sz w:val="22"/>
          <w:szCs w:val="22"/>
        </w:rPr>
      </w:pPr>
    </w:p>
    <w:p w14:paraId="06BE7238" w14:textId="57CED420"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La respuesta de las autoridades a los abusos y delitos en contra de migrantes no ha sido suficiente. En 2015</w:t>
      </w:r>
      <w:r w:rsidR="00024CFB" w:rsidRPr="00DD5C6E">
        <w:rPr>
          <w:rFonts w:asciiTheme="majorHAnsi" w:eastAsia="Times New Roman" w:hAnsiTheme="majorHAnsi" w:cs="Times New Roman"/>
          <w:color w:val="333333"/>
          <w:sz w:val="22"/>
          <w:szCs w:val="22"/>
        </w:rPr>
        <w:t>,</w:t>
      </w:r>
      <w:r w:rsidRPr="00DD5C6E">
        <w:rPr>
          <w:rFonts w:asciiTheme="majorHAnsi" w:eastAsia="Times New Roman" w:hAnsiTheme="majorHAnsi" w:cs="Times New Roman"/>
          <w:color w:val="333333"/>
          <w:sz w:val="22"/>
          <w:szCs w:val="22"/>
        </w:rPr>
        <w:t xml:space="preserve"> </w:t>
      </w:r>
      <w:r w:rsidR="00024CFB" w:rsidRPr="00DD5C6E">
        <w:rPr>
          <w:rFonts w:asciiTheme="majorHAnsi" w:eastAsia="Times New Roman" w:hAnsiTheme="majorHAnsi" w:cs="Times New Roman"/>
          <w:color w:val="333333"/>
          <w:sz w:val="22"/>
          <w:szCs w:val="22"/>
        </w:rPr>
        <w:t xml:space="preserve">la </w:t>
      </w:r>
      <w:r w:rsidRPr="00DD5C6E">
        <w:rPr>
          <w:rFonts w:asciiTheme="majorHAnsi" w:eastAsia="Times New Roman" w:hAnsiTheme="majorHAnsi" w:cs="Times New Roman"/>
          <w:color w:val="333333"/>
          <w:sz w:val="22"/>
          <w:szCs w:val="22"/>
        </w:rPr>
        <w:t>Comisión Estatal de Derechos Humanos de Coahuila sólo emit</w:t>
      </w:r>
      <w:r w:rsidR="00024CFB" w:rsidRPr="00DD5C6E">
        <w:rPr>
          <w:rFonts w:asciiTheme="majorHAnsi" w:eastAsia="Times New Roman" w:hAnsiTheme="majorHAnsi" w:cs="Times New Roman"/>
          <w:color w:val="333333"/>
          <w:sz w:val="22"/>
          <w:szCs w:val="22"/>
        </w:rPr>
        <w:t>ió sólo una recomendación a la Comisión Estatal de Seguridad</w:t>
      </w:r>
      <w:r w:rsidRPr="00DD5C6E">
        <w:rPr>
          <w:rFonts w:asciiTheme="majorHAnsi" w:eastAsia="Times New Roman" w:hAnsiTheme="majorHAnsi" w:cs="Times New Roman"/>
          <w:color w:val="333333"/>
          <w:sz w:val="22"/>
          <w:szCs w:val="22"/>
        </w:rPr>
        <w:t xml:space="preserve"> por “violación a los derechos de las personas bajo condición jurídica de migrantes”.</w:t>
      </w:r>
      <w:r w:rsidRPr="00DD5C6E">
        <w:rPr>
          <w:rFonts w:asciiTheme="majorHAnsi" w:eastAsia="Times New Roman" w:hAnsiTheme="majorHAnsi" w:cs="Times New Roman"/>
          <w:color w:val="333333"/>
          <w:sz w:val="22"/>
          <w:szCs w:val="22"/>
          <w:vertAlign w:val="superscript"/>
        </w:rPr>
        <w:footnoteReference w:id="10"/>
      </w:r>
      <w:r w:rsidRPr="00DD5C6E">
        <w:rPr>
          <w:rFonts w:asciiTheme="majorHAnsi" w:eastAsia="Times New Roman" w:hAnsiTheme="majorHAnsi" w:cs="Times New Roman"/>
          <w:color w:val="333333"/>
          <w:sz w:val="22"/>
          <w:szCs w:val="22"/>
        </w:rPr>
        <w:t xml:space="preserve"> </w:t>
      </w:r>
      <w:r w:rsidR="002F6542" w:rsidRPr="00DD5C6E">
        <w:rPr>
          <w:rFonts w:asciiTheme="majorHAnsi" w:eastAsia="Times New Roman" w:hAnsiTheme="majorHAnsi" w:cs="Times New Roman"/>
          <w:color w:val="333333"/>
          <w:sz w:val="22"/>
          <w:szCs w:val="22"/>
        </w:rPr>
        <w:t>En 2015</w:t>
      </w:r>
      <w:r w:rsidR="00024CFB" w:rsidRPr="00DD5C6E">
        <w:rPr>
          <w:rFonts w:asciiTheme="majorHAnsi" w:eastAsia="Times New Roman" w:hAnsiTheme="majorHAnsi" w:cs="Times New Roman"/>
          <w:color w:val="333333"/>
          <w:sz w:val="22"/>
          <w:szCs w:val="22"/>
        </w:rPr>
        <w:t>,</w:t>
      </w:r>
      <w:r w:rsidR="002F6542" w:rsidRPr="00DD5C6E">
        <w:rPr>
          <w:rFonts w:asciiTheme="majorHAnsi" w:eastAsia="Times New Roman" w:hAnsiTheme="majorHAnsi" w:cs="Times New Roman"/>
          <w:color w:val="333333"/>
          <w:sz w:val="22"/>
          <w:szCs w:val="22"/>
        </w:rPr>
        <w:t xml:space="preserve"> la Fiscalía Especializada para la Atención de Delitos Cometidos en Agravio de Migrantes recibió 36 denuncias, por los delitos de abuso de autoridad, abuso sexual, amenazas, allanamiento de morada, daños, robo, privación de la libertad,</w:t>
      </w:r>
      <w:r w:rsidR="003F6927" w:rsidRPr="00DD5C6E">
        <w:rPr>
          <w:rFonts w:asciiTheme="majorHAnsi" w:eastAsia="Times New Roman" w:hAnsiTheme="majorHAnsi" w:cs="Times New Roman"/>
          <w:color w:val="333333"/>
          <w:sz w:val="22"/>
          <w:szCs w:val="22"/>
        </w:rPr>
        <w:t xml:space="preserve"> y</w:t>
      </w:r>
      <w:r w:rsidR="00024CFB" w:rsidRPr="00DD5C6E">
        <w:rPr>
          <w:rFonts w:asciiTheme="majorHAnsi" w:eastAsia="Times New Roman" w:hAnsiTheme="majorHAnsi" w:cs="Times New Roman"/>
          <w:color w:val="333333"/>
          <w:sz w:val="22"/>
          <w:szCs w:val="22"/>
        </w:rPr>
        <w:t xml:space="preserve"> trata de personas. De estas denuncias, fueron consignadas </w:t>
      </w:r>
      <w:r w:rsidR="002F6542" w:rsidRPr="00DD5C6E">
        <w:rPr>
          <w:rFonts w:asciiTheme="majorHAnsi" w:eastAsia="Times New Roman" w:hAnsiTheme="majorHAnsi" w:cs="Times New Roman"/>
          <w:color w:val="333333"/>
          <w:sz w:val="22"/>
          <w:szCs w:val="22"/>
        </w:rPr>
        <w:t>14 personas.</w:t>
      </w:r>
      <w:r w:rsidR="002F6542" w:rsidRPr="00DD5C6E">
        <w:rPr>
          <w:rFonts w:asciiTheme="majorHAnsi" w:eastAsia="Times New Roman" w:hAnsiTheme="majorHAnsi" w:cs="Times New Roman"/>
          <w:color w:val="333333"/>
          <w:sz w:val="22"/>
          <w:szCs w:val="22"/>
          <w:vertAlign w:val="superscript"/>
        </w:rPr>
        <w:footnoteReference w:id="11"/>
      </w:r>
    </w:p>
    <w:p w14:paraId="5330886A" w14:textId="77777777" w:rsidR="00224BE0" w:rsidRPr="00DD5C6E" w:rsidRDefault="00224BE0" w:rsidP="00224BE0">
      <w:pPr>
        <w:shd w:val="clear" w:color="auto" w:fill="FFFFFF"/>
        <w:jc w:val="both"/>
        <w:rPr>
          <w:rFonts w:asciiTheme="majorHAnsi" w:eastAsia="Times New Roman" w:hAnsiTheme="majorHAnsi" w:cs="Times New Roman"/>
          <w:color w:val="333333"/>
          <w:sz w:val="22"/>
          <w:szCs w:val="22"/>
        </w:rPr>
      </w:pPr>
    </w:p>
    <w:p w14:paraId="07EE1B95" w14:textId="61BCAB92" w:rsidR="002F6542"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Los patrones ya documentados por la Casa del Migrante </w:t>
      </w:r>
      <w:r w:rsidR="001F2270" w:rsidRPr="00DD5C6E">
        <w:rPr>
          <w:rFonts w:asciiTheme="majorHAnsi" w:eastAsia="Times New Roman" w:hAnsiTheme="majorHAnsi" w:cs="Times New Roman"/>
          <w:color w:val="333333"/>
          <w:sz w:val="22"/>
          <w:szCs w:val="22"/>
        </w:rPr>
        <w:t xml:space="preserve">de </w:t>
      </w:r>
      <w:r w:rsidRPr="00DD5C6E">
        <w:rPr>
          <w:rFonts w:asciiTheme="majorHAnsi" w:eastAsia="Times New Roman" w:hAnsiTheme="majorHAnsi" w:cs="Times New Roman"/>
          <w:color w:val="333333"/>
          <w:sz w:val="22"/>
          <w:szCs w:val="22"/>
        </w:rPr>
        <w:t xml:space="preserve">Saltillo en cuanto al actuar de las policías y la criminalización de personas migrantes persisten. Al mes de junio de 2016, la Comisión Estatal de Derechos Humanos de Coahuila únicamente ha emitido </w:t>
      </w:r>
      <w:r w:rsidR="001F2270" w:rsidRPr="00DD5C6E">
        <w:rPr>
          <w:rFonts w:asciiTheme="majorHAnsi" w:eastAsia="Times New Roman" w:hAnsiTheme="majorHAnsi" w:cs="Times New Roman"/>
          <w:color w:val="333333"/>
          <w:sz w:val="22"/>
          <w:szCs w:val="22"/>
        </w:rPr>
        <w:t>dos</w:t>
      </w:r>
      <w:r w:rsidRPr="00DD5C6E">
        <w:rPr>
          <w:rFonts w:asciiTheme="majorHAnsi" w:eastAsia="Times New Roman" w:hAnsiTheme="majorHAnsi" w:cs="Times New Roman"/>
          <w:color w:val="333333"/>
          <w:sz w:val="22"/>
          <w:szCs w:val="22"/>
        </w:rPr>
        <w:t xml:space="preserve"> recomendaciones por violaciones a los derechos humanos de migrantes. El primer caso</w:t>
      </w:r>
      <w:r w:rsidRPr="00DD5C6E">
        <w:rPr>
          <w:rFonts w:asciiTheme="majorHAnsi" w:eastAsia="Times New Roman" w:hAnsiTheme="majorHAnsi" w:cs="Times New Roman"/>
          <w:color w:val="333333"/>
          <w:sz w:val="22"/>
          <w:szCs w:val="22"/>
          <w:vertAlign w:val="superscript"/>
        </w:rPr>
        <w:footnoteReference w:id="12"/>
      </w:r>
      <w:r w:rsidR="00024CFB" w:rsidRPr="00DD5C6E">
        <w:rPr>
          <w:rFonts w:asciiTheme="majorHAnsi" w:eastAsia="Times New Roman" w:hAnsiTheme="majorHAnsi" w:cs="Times New Roman"/>
          <w:color w:val="333333"/>
          <w:sz w:val="22"/>
          <w:szCs w:val="22"/>
        </w:rPr>
        <w:t xml:space="preserve"> se refiere a</w:t>
      </w:r>
      <w:r w:rsidRPr="00DD5C6E">
        <w:rPr>
          <w:rFonts w:asciiTheme="majorHAnsi" w:eastAsia="Times New Roman" w:hAnsiTheme="majorHAnsi" w:cs="Times New Roman"/>
          <w:color w:val="333333"/>
          <w:sz w:val="22"/>
          <w:szCs w:val="22"/>
        </w:rPr>
        <w:t xml:space="preserve"> la agresión y detención arbitraria de </w:t>
      </w:r>
      <w:r w:rsidR="001F2270" w:rsidRPr="00DD5C6E">
        <w:rPr>
          <w:rFonts w:asciiTheme="majorHAnsi" w:eastAsia="Times New Roman" w:hAnsiTheme="majorHAnsi" w:cs="Times New Roman"/>
          <w:color w:val="333333"/>
          <w:sz w:val="22"/>
          <w:szCs w:val="22"/>
        </w:rPr>
        <w:t>nueve</w:t>
      </w:r>
      <w:r w:rsidRPr="00DD5C6E">
        <w:rPr>
          <w:rFonts w:asciiTheme="majorHAnsi" w:eastAsia="Times New Roman" w:hAnsiTheme="majorHAnsi" w:cs="Times New Roman"/>
          <w:color w:val="333333"/>
          <w:sz w:val="22"/>
          <w:szCs w:val="22"/>
        </w:rPr>
        <w:t xml:space="preserve"> personas migrantes por miembros de la Policía Preventiva Municipal de Saltillo. El segundo caso</w:t>
      </w:r>
      <w:r w:rsidRPr="00DD5C6E">
        <w:rPr>
          <w:rFonts w:asciiTheme="majorHAnsi" w:eastAsia="Times New Roman" w:hAnsiTheme="majorHAnsi" w:cs="Times New Roman"/>
          <w:color w:val="333333"/>
          <w:sz w:val="22"/>
          <w:szCs w:val="22"/>
          <w:vertAlign w:val="superscript"/>
        </w:rPr>
        <w:footnoteReference w:id="13"/>
      </w:r>
      <w:r w:rsidRPr="00DD5C6E">
        <w:rPr>
          <w:rFonts w:asciiTheme="majorHAnsi" w:eastAsia="Times New Roman" w:hAnsiTheme="majorHAnsi" w:cs="Times New Roman"/>
          <w:color w:val="333333"/>
          <w:sz w:val="22"/>
          <w:szCs w:val="22"/>
        </w:rPr>
        <w:t xml:space="preserve"> se refiere a la detención de </w:t>
      </w:r>
      <w:r w:rsidR="001F2270" w:rsidRPr="00DD5C6E">
        <w:rPr>
          <w:rFonts w:asciiTheme="majorHAnsi" w:eastAsia="Times New Roman" w:hAnsiTheme="majorHAnsi" w:cs="Times New Roman"/>
          <w:color w:val="333333"/>
          <w:sz w:val="22"/>
          <w:szCs w:val="22"/>
        </w:rPr>
        <w:t>tres</w:t>
      </w:r>
      <w:r w:rsidRPr="00DD5C6E">
        <w:rPr>
          <w:rFonts w:asciiTheme="majorHAnsi" w:eastAsia="Times New Roman" w:hAnsiTheme="majorHAnsi" w:cs="Times New Roman"/>
          <w:color w:val="333333"/>
          <w:sz w:val="22"/>
          <w:szCs w:val="22"/>
        </w:rPr>
        <w:t xml:space="preserve"> migrantes en marzo de 2014 por parte de elementos de la Policía Estatal Acreditable de la Comisión Estatal de Seguridad.</w:t>
      </w:r>
    </w:p>
    <w:p w14:paraId="54A4EB22" w14:textId="77777777" w:rsidR="002F6542" w:rsidRPr="00DD5C6E" w:rsidRDefault="002F6542" w:rsidP="00224BE0">
      <w:pPr>
        <w:shd w:val="clear" w:color="auto" w:fill="FFFFFF"/>
        <w:jc w:val="both"/>
        <w:rPr>
          <w:rFonts w:asciiTheme="majorHAnsi" w:eastAsia="Times New Roman" w:hAnsiTheme="majorHAnsi" w:cs="Times New Roman"/>
          <w:color w:val="333333"/>
          <w:sz w:val="22"/>
          <w:szCs w:val="22"/>
        </w:rPr>
      </w:pPr>
    </w:p>
    <w:p w14:paraId="55DD668B" w14:textId="6EEDC312" w:rsidR="00224BE0" w:rsidRPr="00DD5C6E" w:rsidRDefault="001F227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A nivel federal, e</w:t>
      </w:r>
      <w:r w:rsidR="002F6542" w:rsidRPr="00DD5C6E">
        <w:rPr>
          <w:rFonts w:asciiTheme="majorHAnsi" w:eastAsia="Times New Roman" w:hAnsiTheme="majorHAnsi" w:cs="Times New Roman"/>
          <w:color w:val="333333"/>
          <w:sz w:val="22"/>
          <w:szCs w:val="22"/>
        </w:rPr>
        <w:t>l 18 de diciembre de 2015 la Procuraduría General de la República (PGR) de México estableció formalmente la Unidad de Investigación de Delitos para Personas</w:t>
      </w:r>
      <w:r w:rsidR="00224BE0" w:rsidRPr="00DD5C6E">
        <w:rPr>
          <w:rFonts w:asciiTheme="majorHAnsi" w:eastAsia="Times New Roman" w:hAnsiTheme="majorHAnsi" w:cs="Times New Roman"/>
          <w:color w:val="333333"/>
          <w:sz w:val="22"/>
          <w:szCs w:val="22"/>
        </w:rPr>
        <w:t xml:space="preserve"> Migrantes y el Mecanismo de Apoyo Exterior Mexicano de Búsqueda e Investigación</w:t>
      </w:r>
      <w:r w:rsidRPr="00DD5C6E">
        <w:rPr>
          <w:rFonts w:asciiTheme="majorHAnsi" w:eastAsia="Times New Roman" w:hAnsiTheme="majorHAnsi" w:cs="Times New Roman"/>
          <w:color w:val="333333"/>
          <w:sz w:val="22"/>
          <w:szCs w:val="22"/>
        </w:rPr>
        <w:t>. No obstante</w:t>
      </w:r>
      <w:r w:rsidR="00024CFB" w:rsidRPr="00DD5C6E">
        <w:rPr>
          <w:rFonts w:asciiTheme="majorHAnsi" w:eastAsia="Times New Roman" w:hAnsiTheme="majorHAnsi" w:cs="Times New Roman"/>
          <w:color w:val="333333"/>
          <w:sz w:val="22"/>
          <w:szCs w:val="22"/>
        </w:rPr>
        <w:t>,</w:t>
      </w:r>
      <w:r w:rsidRPr="00DD5C6E">
        <w:rPr>
          <w:rFonts w:asciiTheme="majorHAnsi" w:eastAsia="Times New Roman" w:hAnsiTheme="majorHAnsi" w:cs="Times New Roman"/>
          <w:color w:val="333333"/>
          <w:sz w:val="22"/>
          <w:szCs w:val="22"/>
        </w:rPr>
        <w:t xml:space="preserve"> la importancia de</w:t>
      </w:r>
      <w:r w:rsidR="00824CBF" w:rsidRPr="00DD5C6E">
        <w:rPr>
          <w:rFonts w:asciiTheme="majorHAnsi" w:eastAsia="Times New Roman" w:hAnsiTheme="majorHAnsi" w:cs="Times New Roman"/>
          <w:color w:val="333333"/>
          <w:sz w:val="22"/>
          <w:szCs w:val="22"/>
        </w:rPr>
        <w:t xml:space="preserve"> haber establecido</w:t>
      </w:r>
      <w:r w:rsidR="00024CFB" w:rsidRPr="00DD5C6E">
        <w:rPr>
          <w:rFonts w:asciiTheme="majorHAnsi" w:eastAsia="Times New Roman" w:hAnsiTheme="majorHAnsi" w:cs="Times New Roman"/>
          <w:color w:val="333333"/>
          <w:sz w:val="22"/>
          <w:szCs w:val="22"/>
        </w:rPr>
        <w:t xml:space="preserve"> esta</w:t>
      </w:r>
      <w:r w:rsidRPr="00DD5C6E">
        <w:rPr>
          <w:rFonts w:asciiTheme="majorHAnsi" w:eastAsia="Times New Roman" w:hAnsiTheme="majorHAnsi" w:cs="Times New Roman"/>
          <w:color w:val="333333"/>
          <w:sz w:val="22"/>
          <w:szCs w:val="22"/>
        </w:rPr>
        <w:t xml:space="preserve"> instancia</w:t>
      </w:r>
      <w:r w:rsidR="00024CFB" w:rsidRPr="00DD5C6E">
        <w:rPr>
          <w:rFonts w:asciiTheme="majorHAnsi" w:eastAsia="Times New Roman" w:hAnsiTheme="majorHAnsi" w:cs="Times New Roman"/>
          <w:color w:val="333333"/>
          <w:sz w:val="22"/>
          <w:szCs w:val="22"/>
        </w:rPr>
        <w:t xml:space="preserve">, </w:t>
      </w:r>
      <w:r w:rsidR="00224BE0" w:rsidRPr="00DD5C6E">
        <w:rPr>
          <w:rFonts w:asciiTheme="majorHAnsi" w:eastAsia="Times New Roman" w:hAnsiTheme="majorHAnsi" w:cs="Times New Roman"/>
          <w:color w:val="333333"/>
          <w:sz w:val="22"/>
          <w:szCs w:val="22"/>
        </w:rPr>
        <w:t xml:space="preserve">el retraso en la designación de la titular de la </w:t>
      </w:r>
      <w:r w:rsidR="00224BE0" w:rsidRPr="00DD5C6E">
        <w:rPr>
          <w:rFonts w:asciiTheme="majorHAnsi" w:eastAsia="Times New Roman" w:hAnsiTheme="majorHAnsi" w:cs="Times New Roman"/>
          <w:color w:val="333333"/>
          <w:sz w:val="22"/>
          <w:szCs w:val="22"/>
        </w:rPr>
        <w:lastRenderedPageBreak/>
        <w:t>Unidad (Leono</w:t>
      </w:r>
      <w:r w:rsidR="00DD5C6E" w:rsidRPr="00DD5C6E">
        <w:rPr>
          <w:rFonts w:asciiTheme="majorHAnsi" w:eastAsia="Times New Roman" w:hAnsiTheme="majorHAnsi" w:cs="Times New Roman"/>
          <w:color w:val="333333"/>
          <w:sz w:val="22"/>
          <w:szCs w:val="22"/>
        </w:rPr>
        <w:t xml:space="preserve">r Figueroa Jácome) </w:t>
      </w:r>
      <w:r w:rsidR="00224BE0" w:rsidRPr="00DD5C6E">
        <w:rPr>
          <w:rFonts w:asciiTheme="majorHAnsi" w:eastAsia="Times New Roman" w:hAnsiTheme="majorHAnsi" w:cs="Times New Roman"/>
          <w:color w:val="333333"/>
          <w:sz w:val="22"/>
          <w:szCs w:val="22"/>
        </w:rPr>
        <w:t>y en la emisión de protocolos y lineamientos</w:t>
      </w:r>
      <w:r w:rsidR="00DD5C6E" w:rsidRPr="00DD5C6E">
        <w:rPr>
          <w:rFonts w:asciiTheme="majorHAnsi" w:eastAsia="Times New Roman" w:hAnsiTheme="majorHAnsi" w:cs="Times New Roman"/>
          <w:color w:val="333333"/>
          <w:sz w:val="22"/>
          <w:szCs w:val="22"/>
        </w:rPr>
        <w:t>,</w:t>
      </w:r>
      <w:r w:rsidR="00224BE0" w:rsidRPr="00DD5C6E">
        <w:rPr>
          <w:rFonts w:asciiTheme="majorHAnsi" w:eastAsia="Times New Roman" w:hAnsiTheme="majorHAnsi" w:cs="Times New Roman"/>
          <w:color w:val="333333"/>
          <w:sz w:val="22"/>
          <w:szCs w:val="22"/>
        </w:rPr>
        <w:t xml:space="preserve"> ha impedido que los migrantes </w:t>
      </w:r>
      <w:r w:rsidR="00DD5C6E" w:rsidRPr="00DD5C6E">
        <w:rPr>
          <w:rFonts w:asciiTheme="majorHAnsi" w:eastAsia="Times New Roman" w:hAnsiTheme="majorHAnsi" w:cs="Times New Roman"/>
          <w:color w:val="333333"/>
          <w:sz w:val="22"/>
          <w:szCs w:val="22"/>
        </w:rPr>
        <w:t>y sus familias puedan ejercer de</w:t>
      </w:r>
      <w:r w:rsidR="00224BE0" w:rsidRPr="00DD5C6E">
        <w:rPr>
          <w:rFonts w:asciiTheme="majorHAnsi" w:eastAsia="Times New Roman" w:hAnsiTheme="majorHAnsi" w:cs="Times New Roman"/>
          <w:color w:val="333333"/>
          <w:sz w:val="22"/>
          <w:szCs w:val="22"/>
        </w:rPr>
        <w:t xml:space="preserve"> forma efectiva sus derechos</w:t>
      </w:r>
      <w:r w:rsidR="00824CBF" w:rsidRPr="00DD5C6E">
        <w:rPr>
          <w:rFonts w:asciiTheme="majorHAnsi" w:eastAsia="Times New Roman" w:hAnsiTheme="majorHAnsi" w:cs="Times New Roman"/>
          <w:color w:val="333333"/>
          <w:sz w:val="22"/>
          <w:szCs w:val="22"/>
        </w:rPr>
        <w:t>.</w:t>
      </w:r>
      <w:r w:rsidR="00224BE0" w:rsidRPr="00DD5C6E">
        <w:rPr>
          <w:rFonts w:asciiTheme="majorHAnsi" w:eastAsia="Times New Roman" w:hAnsiTheme="majorHAnsi" w:cs="Times New Roman"/>
          <w:color w:val="333333"/>
          <w:sz w:val="22"/>
          <w:szCs w:val="22"/>
        </w:rPr>
        <w:t xml:space="preserve"> </w:t>
      </w:r>
    </w:p>
    <w:p w14:paraId="29B3D19E" w14:textId="77777777" w:rsidR="00224BE0" w:rsidRPr="00DD5C6E" w:rsidRDefault="00224BE0" w:rsidP="00224BE0">
      <w:pPr>
        <w:shd w:val="clear" w:color="auto" w:fill="FFFFFF"/>
        <w:jc w:val="both"/>
        <w:rPr>
          <w:rFonts w:asciiTheme="majorHAnsi" w:eastAsia="Times New Roman" w:hAnsiTheme="majorHAnsi" w:cs="Times New Roman"/>
          <w:i/>
          <w:color w:val="333333"/>
          <w:sz w:val="22"/>
          <w:szCs w:val="22"/>
          <w:u w:val="single"/>
        </w:rPr>
      </w:pPr>
    </w:p>
    <w:p w14:paraId="4E466358" w14:textId="17370313" w:rsidR="00AC131C" w:rsidRPr="00DD5C6E" w:rsidRDefault="00224BE0" w:rsidP="00224BE0">
      <w:pPr>
        <w:shd w:val="clear" w:color="auto" w:fill="FFFFFF"/>
        <w:jc w:val="both"/>
        <w:rPr>
          <w:rFonts w:asciiTheme="majorHAnsi" w:eastAsia="Times New Roman" w:hAnsiTheme="majorHAnsi" w:cs="Times New Roman"/>
          <w:color w:val="333333"/>
          <w:sz w:val="22"/>
          <w:szCs w:val="22"/>
        </w:rPr>
      </w:pPr>
      <w:r w:rsidRPr="00DD5C6E">
        <w:rPr>
          <w:rFonts w:asciiTheme="majorHAnsi" w:eastAsia="Times New Roman" w:hAnsiTheme="majorHAnsi" w:cs="Times New Roman"/>
          <w:color w:val="333333"/>
          <w:sz w:val="22"/>
          <w:szCs w:val="22"/>
        </w:rPr>
        <w:t xml:space="preserve">Al mes de junio de 2016, la Unidad de la PGR registraba un total de 133 delitos bajo investigación, 123 en el </w:t>
      </w:r>
      <w:r w:rsidR="00DD5C6E" w:rsidRPr="00DD5C6E">
        <w:rPr>
          <w:rFonts w:asciiTheme="majorHAnsi" w:eastAsia="Times New Roman" w:hAnsiTheme="majorHAnsi" w:cs="Times New Roman"/>
          <w:color w:val="333333"/>
          <w:sz w:val="22"/>
          <w:szCs w:val="22"/>
        </w:rPr>
        <w:t>anterior</w:t>
      </w:r>
      <w:r w:rsidRPr="00DD5C6E">
        <w:rPr>
          <w:rFonts w:asciiTheme="majorHAnsi" w:eastAsia="Times New Roman" w:hAnsiTheme="majorHAnsi" w:cs="Times New Roman"/>
          <w:color w:val="333333"/>
          <w:sz w:val="22"/>
          <w:szCs w:val="22"/>
        </w:rPr>
        <w:t xml:space="preserve"> sistema de justicia y 10 en el nuevo sistema. La mayoría de los casos (96) son de privación ilegal de la libertad, seguidos por 9 de abuso de autoridad, 4 de secuestro, 3 por tráfico de personas, 3 de delitos contra la administración de justicia y 3 por extorsión.</w:t>
      </w:r>
      <w:r w:rsidR="00DD5C6E" w:rsidRPr="00DD5C6E">
        <w:rPr>
          <w:rFonts w:asciiTheme="majorHAnsi" w:eastAsia="Times New Roman" w:hAnsiTheme="majorHAnsi" w:cs="Times New Roman"/>
          <w:color w:val="333333"/>
          <w:sz w:val="22"/>
          <w:szCs w:val="22"/>
        </w:rPr>
        <w:t xml:space="preserve"> </w:t>
      </w:r>
    </w:p>
    <w:p w14:paraId="37FA4508" w14:textId="77777777" w:rsidR="00DD5C6E" w:rsidRPr="00DD5C6E" w:rsidRDefault="00DD5C6E" w:rsidP="00224BE0">
      <w:pPr>
        <w:shd w:val="clear" w:color="auto" w:fill="FFFFFF"/>
        <w:jc w:val="both"/>
        <w:rPr>
          <w:rFonts w:asciiTheme="majorHAnsi" w:eastAsia="Times New Roman" w:hAnsiTheme="majorHAnsi" w:cs="Times New Roman"/>
          <w:color w:val="333333"/>
          <w:sz w:val="22"/>
          <w:szCs w:val="22"/>
        </w:rPr>
      </w:pPr>
    </w:p>
    <w:p w14:paraId="3BD090EA" w14:textId="627B04FD" w:rsidR="00824CBF" w:rsidRPr="00DD5C6E" w:rsidRDefault="00824CBF" w:rsidP="00824CBF">
      <w:pPr>
        <w:jc w:val="both"/>
        <w:rPr>
          <w:rFonts w:asciiTheme="majorHAnsi" w:hAnsiTheme="majorHAnsi"/>
          <w:color w:val="000000"/>
          <w:sz w:val="22"/>
          <w:szCs w:val="22"/>
        </w:rPr>
      </w:pPr>
      <w:r w:rsidRPr="00DD5C6E">
        <w:rPr>
          <w:rFonts w:asciiTheme="majorHAnsi" w:hAnsiTheme="majorHAnsi"/>
          <w:color w:val="000000"/>
          <w:sz w:val="22"/>
          <w:szCs w:val="22"/>
        </w:rPr>
        <w:t xml:space="preserve">Frente a este panorama, reiteramos las recomendaciones emitidas en </w:t>
      </w:r>
      <w:r w:rsidRPr="00DD5C6E">
        <w:rPr>
          <w:rFonts w:asciiTheme="majorHAnsi" w:eastAsia="Times New Roman" w:hAnsiTheme="majorHAnsi" w:cs="Arial"/>
          <w:bCs/>
          <w:i/>
          <w:sz w:val="22"/>
          <w:szCs w:val="22"/>
          <w:lang w:eastAsia="es-MX"/>
        </w:rPr>
        <w:t>Un camino incierto</w:t>
      </w:r>
      <w:r w:rsidR="00DD5C6E" w:rsidRPr="00DD5C6E">
        <w:rPr>
          <w:rFonts w:asciiTheme="majorHAnsi" w:hAnsiTheme="majorHAnsi"/>
          <w:color w:val="000000"/>
          <w:sz w:val="22"/>
          <w:szCs w:val="22"/>
        </w:rPr>
        <w:t xml:space="preserve">, </w:t>
      </w:r>
      <w:r w:rsidRPr="00DD5C6E">
        <w:rPr>
          <w:rFonts w:asciiTheme="majorHAnsi" w:hAnsiTheme="majorHAnsi"/>
          <w:color w:val="000000"/>
          <w:sz w:val="22"/>
          <w:szCs w:val="22"/>
        </w:rPr>
        <w:t xml:space="preserve">dirigidas a las dependencias responsables del gobierno mexicano como </w:t>
      </w:r>
      <w:r w:rsidR="00DD5C6E" w:rsidRPr="00DD5C6E">
        <w:rPr>
          <w:rFonts w:asciiTheme="majorHAnsi" w:hAnsiTheme="majorHAnsi"/>
          <w:color w:val="000000"/>
          <w:sz w:val="22"/>
          <w:szCs w:val="22"/>
        </w:rPr>
        <w:t xml:space="preserve">la </w:t>
      </w:r>
      <w:r w:rsidRPr="00DD5C6E">
        <w:rPr>
          <w:rFonts w:asciiTheme="majorHAnsi" w:hAnsiTheme="majorHAnsi"/>
          <w:color w:val="000000"/>
          <w:sz w:val="22"/>
          <w:szCs w:val="22"/>
        </w:rPr>
        <w:t>Secretaría de Gobernación (SEGOB),</w:t>
      </w:r>
      <w:r w:rsidR="00DD5C6E" w:rsidRPr="00DD5C6E">
        <w:rPr>
          <w:rFonts w:asciiTheme="majorHAnsi" w:hAnsiTheme="majorHAnsi"/>
          <w:color w:val="000000"/>
          <w:sz w:val="22"/>
          <w:szCs w:val="22"/>
        </w:rPr>
        <w:t xml:space="preserve"> el I</w:t>
      </w:r>
      <w:r w:rsidRPr="00DD5C6E">
        <w:rPr>
          <w:rFonts w:asciiTheme="majorHAnsi" w:hAnsiTheme="majorHAnsi"/>
          <w:color w:val="000000"/>
          <w:sz w:val="22"/>
          <w:szCs w:val="22"/>
        </w:rPr>
        <w:t xml:space="preserve">nstituto Nacional de Migración (INM), </w:t>
      </w:r>
      <w:r w:rsidR="00DD5C6E" w:rsidRPr="00DD5C6E">
        <w:rPr>
          <w:rFonts w:asciiTheme="majorHAnsi" w:hAnsiTheme="majorHAnsi"/>
          <w:color w:val="000000"/>
          <w:sz w:val="22"/>
          <w:szCs w:val="22"/>
        </w:rPr>
        <w:t xml:space="preserve">la </w:t>
      </w:r>
      <w:r w:rsidRPr="00DD5C6E">
        <w:rPr>
          <w:rFonts w:asciiTheme="majorHAnsi" w:hAnsiTheme="majorHAnsi"/>
          <w:color w:val="000000"/>
          <w:sz w:val="22"/>
          <w:szCs w:val="22"/>
        </w:rPr>
        <w:t xml:space="preserve">Procuraduría General de la República (PGR), </w:t>
      </w:r>
      <w:r w:rsidR="00DD5C6E" w:rsidRPr="00DD5C6E">
        <w:rPr>
          <w:rFonts w:asciiTheme="majorHAnsi" w:hAnsiTheme="majorHAnsi"/>
          <w:color w:val="000000"/>
          <w:sz w:val="22"/>
          <w:szCs w:val="22"/>
        </w:rPr>
        <w:t xml:space="preserve">la Comisión Mexicana de Ayuda a Refugiados (COMAR) </w:t>
      </w:r>
      <w:r w:rsidRPr="00DD5C6E">
        <w:rPr>
          <w:rFonts w:asciiTheme="majorHAnsi" w:hAnsiTheme="majorHAnsi"/>
          <w:color w:val="000000"/>
          <w:sz w:val="22"/>
          <w:szCs w:val="22"/>
        </w:rPr>
        <w:t xml:space="preserve">y al gobierno de Estados Unidos en su cooperación con México.  </w:t>
      </w:r>
    </w:p>
    <w:p w14:paraId="2777D91A" w14:textId="77777777" w:rsidR="00824CBF" w:rsidRPr="00DD5C6E" w:rsidRDefault="00824CBF" w:rsidP="00224BE0">
      <w:pPr>
        <w:shd w:val="clear" w:color="auto" w:fill="FFFFFF"/>
        <w:jc w:val="both"/>
        <w:rPr>
          <w:rFonts w:asciiTheme="majorHAnsi" w:eastAsia="Times New Roman" w:hAnsiTheme="majorHAnsi" w:cs="Times New Roman"/>
          <w:color w:val="333333"/>
          <w:sz w:val="22"/>
          <w:szCs w:val="22"/>
        </w:rPr>
      </w:pPr>
    </w:p>
    <w:sectPr w:rsidR="00824CBF" w:rsidRPr="00DD5C6E" w:rsidSect="00D97036">
      <w:headerReference w:type="default" r:id="rId9"/>
      <w:footerReference w:type="default" r:id="rId10"/>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682C2" w14:textId="77777777" w:rsidR="003E6546" w:rsidRDefault="003E6546" w:rsidP="00224BE0">
      <w:r>
        <w:separator/>
      </w:r>
    </w:p>
  </w:endnote>
  <w:endnote w:type="continuationSeparator" w:id="0">
    <w:p w14:paraId="13731D48" w14:textId="77777777" w:rsidR="003E6546" w:rsidRDefault="003E6546" w:rsidP="00224BE0">
      <w:r>
        <w:continuationSeparator/>
      </w:r>
    </w:p>
  </w:endnote>
  <w:endnote w:type="continuationNotice" w:id="1">
    <w:p w14:paraId="54E95C4E" w14:textId="77777777" w:rsidR="003E6546" w:rsidRDefault="003E6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CBABA" w14:textId="77777777" w:rsidR="00067E04" w:rsidRDefault="00067E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D19CC" w14:textId="77777777" w:rsidR="003E6546" w:rsidRDefault="003E6546" w:rsidP="00224BE0">
      <w:r>
        <w:separator/>
      </w:r>
    </w:p>
  </w:footnote>
  <w:footnote w:type="continuationSeparator" w:id="0">
    <w:p w14:paraId="55B63358" w14:textId="77777777" w:rsidR="003E6546" w:rsidRDefault="003E6546" w:rsidP="00224BE0">
      <w:r>
        <w:continuationSeparator/>
      </w:r>
    </w:p>
  </w:footnote>
  <w:footnote w:type="continuationNotice" w:id="1">
    <w:p w14:paraId="2C841431" w14:textId="77777777" w:rsidR="003E6546" w:rsidRDefault="003E6546"/>
  </w:footnote>
  <w:footnote w:id="2">
    <w:p w14:paraId="59DE091F" w14:textId="77777777" w:rsidR="00B92AA0" w:rsidRPr="00054ADA" w:rsidRDefault="00B92AA0" w:rsidP="00054ADA">
      <w:pPr>
        <w:pStyle w:val="Textonotapie"/>
        <w:jc w:val="both"/>
        <w:rPr>
          <w:rFonts w:ascii="Helvetica" w:hAnsi="Helvetica" w:cs="Times New Roman"/>
          <w:sz w:val="18"/>
          <w:szCs w:val="18"/>
        </w:rPr>
      </w:pPr>
      <w:r w:rsidRPr="00054ADA">
        <w:rPr>
          <w:rStyle w:val="Refdenotaalpie"/>
          <w:rFonts w:ascii="Helvetica" w:hAnsi="Helvetica" w:cs="Times New Roman"/>
          <w:sz w:val="18"/>
          <w:szCs w:val="18"/>
        </w:rPr>
        <w:footnoteRef/>
      </w:r>
      <w:r w:rsidRPr="00054ADA">
        <w:rPr>
          <w:rFonts w:ascii="Helvetica" w:hAnsi="Helvetica" w:cs="Times New Roman"/>
          <w:sz w:val="18"/>
          <w:szCs w:val="18"/>
        </w:rPr>
        <w:t xml:space="preserve"> Red de organizaciones en Sonora (“Red Sonora”: Iniciativa Kino para la Frontera, en Nogales, Centro de Recursos para Migrantes, en Agua Prieta y Centro Comunitario de Atención al Migrante y Necesitado, también conocido por sus siglas CCAMYN, en Altar); Albergue de Migrantes “Hermanos en el Camino” en </w:t>
      </w:r>
      <w:proofErr w:type="spellStart"/>
      <w:r w:rsidRPr="00054ADA">
        <w:rPr>
          <w:rFonts w:ascii="Helvetica" w:hAnsi="Helvetica" w:cs="Times New Roman"/>
          <w:sz w:val="18"/>
          <w:szCs w:val="18"/>
        </w:rPr>
        <w:t>Ixtepec</w:t>
      </w:r>
      <w:proofErr w:type="spellEnd"/>
      <w:r w:rsidRPr="00054ADA">
        <w:rPr>
          <w:rFonts w:ascii="Helvetica" w:hAnsi="Helvetica" w:cs="Times New Roman"/>
          <w:sz w:val="18"/>
          <w:szCs w:val="18"/>
        </w:rPr>
        <w:t>, Oaxaca; “La 72, Hogar—Refugio para Personas Migrantes” en Tenosique, Tabasco; “Un Mundo, Una Nación” en Apizaco, Tlaxcala; y la defensora de los derechos humanos de migrantes, Irazú Gómez.</w:t>
      </w:r>
    </w:p>
  </w:footnote>
  <w:footnote w:id="3">
    <w:p w14:paraId="6B18D905" w14:textId="7377EA93" w:rsidR="00807DC8" w:rsidRPr="00DD5C6E" w:rsidRDefault="00807DC8">
      <w:pPr>
        <w:pStyle w:val="Textonotapie"/>
        <w:rPr>
          <w:rFonts w:asciiTheme="majorHAnsi" w:hAnsiTheme="majorHAnsi"/>
          <w:sz w:val="20"/>
          <w:szCs w:val="20"/>
        </w:rPr>
      </w:pPr>
      <w:r>
        <w:rPr>
          <w:rStyle w:val="Refdenotaalpie"/>
        </w:rPr>
        <w:footnoteRef/>
      </w:r>
      <w:r>
        <w:t xml:space="preserve"> </w:t>
      </w:r>
      <w:r w:rsidRPr="00DD5C6E">
        <w:rPr>
          <w:rFonts w:asciiTheme="majorHAnsi" w:hAnsiTheme="majorHAnsi"/>
          <w:sz w:val="20"/>
          <w:szCs w:val="20"/>
        </w:rPr>
        <w:t>https://www.cbp.gov/newsroom/stats/southwest-border-unaccompanied-children/fy-2016</w:t>
      </w:r>
    </w:p>
  </w:footnote>
  <w:footnote w:id="4">
    <w:p w14:paraId="3610CB72" w14:textId="77777777" w:rsidR="00B92AA0" w:rsidRPr="00DD5C6E" w:rsidRDefault="00B92AA0" w:rsidP="00054ADA">
      <w:pPr>
        <w:pStyle w:val="Textonotapie"/>
        <w:jc w:val="both"/>
        <w:rPr>
          <w:rFonts w:asciiTheme="majorHAnsi" w:hAnsiTheme="majorHAnsi" w:cs="Times New Roman"/>
          <w:sz w:val="20"/>
          <w:szCs w:val="20"/>
        </w:rPr>
      </w:pPr>
      <w:r w:rsidRPr="00DD5C6E">
        <w:rPr>
          <w:rStyle w:val="Refdenotaalpie"/>
          <w:rFonts w:asciiTheme="majorHAnsi" w:hAnsiTheme="majorHAnsi" w:cs="Times New Roman"/>
          <w:sz w:val="20"/>
          <w:szCs w:val="20"/>
        </w:rPr>
        <w:footnoteRef/>
      </w:r>
      <w:r w:rsidRPr="00DD5C6E">
        <w:rPr>
          <w:rFonts w:asciiTheme="majorHAnsi" w:hAnsiTheme="majorHAnsi" w:cs="Times New Roman"/>
          <w:sz w:val="20"/>
          <w:szCs w:val="20"/>
        </w:rPr>
        <w:t xml:space="preserve"> “</w:t>
      </w:r>
      <w:r w:rsidRPr="00DD5C6E">
        <w:rPr>
          <w:rFonts w:asciiTheme="majorHAnsi" w:hAnsiTheme="majorHAnsi" w:cs="Times New Roman"/>
          <w:bCs/>
          <w:sz w:val="20"/>
          <w:szCs w:val="20"/>
        </w:rPr>
        <w:t xml:space="preserve">En dos años aumentó 150% el flujo de migrantes: INM”, </w:t>
      </w:r>
      <w:r w:rsidRPr="00DD5C6E">
        <w:rPr>
          <w:rFonts w:asciiTheme="majorHAnsi" w:hAnsiTheme="majorHAnsi" w:cs="Times New Roman"/>
          <w:bCs/>
          <w:i/>
          <w:sz w:val="20"/>
          <w:szCs w:val="20"/>
        </w:rPr>
        <w:t>La Jornada</w:t>
      </w:r>
      <w:r w:rsidRPr="00DD5C6E">
        <w:rPr>
          <w:rFonts w:asciiTheme="majorHAnsi" w:hAnsiTheme="majorHAnsi" w:cs="Times New Roman"/>
          <w:bCs/>
          <w:sz w:val="20"/>
          <w:szCs w:val="20"/>
        </w:rPr>
        <w:t xml:space="preserve">, 4 de agosto de 2016, </w:t>
      </w:r>
      <w:r w:rsidRPr="00DD5C6E">
        <w:rPr>
          <w:rFonts w:asciiTheme="majorHAnsi" w:hAnsiTheme="majorHAnsi" w:cs="Times New Roman"/>
          <w:sz w:val="20"/>
          <w:szCs w:val="20"/>
        </w:rPr>
        <w:t>http://www.jornada.unam.mx/2016/08/04/politica/009n1pol</w:t>
      </w:r>
    </w:p>
  </w:footnote>
  <w:footnote w:id="5">
    <w:p w14:paraId="34BAF6FF" w14:textId="6AD064B3" w:rsidR="00DB0499" w:rsidRPr="00DD5C6E" w:rsidRDefault="00DB0499">
      <w:pPr>
        <w:pStyle w:val="Textonotapie"/>
        <w:rPr>
          <w:rFonts w:asciiTheme="majorHAnsi" w:hAnsiTheme="majorHAnsi"/>
          <w:sz w:val="20"/>
          <w:szCs w:val="20"/>
        </w:rPr>
      </w:pPr>
      <w:r w:rsidRPr="00DD5C6E">
        <w:rPr>
          <w:rStyle w:val="Refdenotaalpie"/>
          <w:rFonts w:asciiTheme="majorHAnsi" w:hAnsiTheme="majorHAnsi"/>
          <w:sz w:val="20"/>
          <w:szCs w:val="20"/>
        </w:rPr>
        <w:footnoteRef/>
      </w:r>
      <w:r w:rsidRPr="00DD5C6E">
        <w:rPr>
          <w:rFonts w:asciiTheme="majorHAnsi" w:hAnsiTheme="majorHAnsi"/>
          <w:sz w:val="20"/>
          <w:szCs w:val="20"/>
        </w:rPr>
        <w:t xml:space="preserve"> http://www.politicamigratoria.gob.mx/es_mx/SEGOB/Estadistica</w:t>
      </w:r>
    </w:p>
  </w:footnote>
  <w:footnote w:id="6">
    <w:p w14:paraId="6D780FF4" w14:textId="0173AE8F" w:rsidR="0033625D" w:rsidRPr="00DD5C6E" w:rsidRDefault="0033625D">
      <w:pPr>
        <w:pStyle w:val="Textonotapie"/>
        <w:rPr>
          <w:rFonts w:asciiTheme="majorHAnsi" w:hAnsiTheme="majorHAnsi"/>
          <w:sz w:val="20"/>
          <w:szCs w:val="20"/>
        </w:rPr>
      </w:pPr>
      <w:r w:rsidRPr="00DD5C6E">
        <w:rPr>
          <w:rStyle w:val="Refdenotaalpie"/>
          <w:rFonts w:asciiTheme="majorHAnsi" w:hAnsiTheme="majorHAnsi"/>
          <w:sz w:val="20"/>
          <w:szCs w:val="20"/>
        </w:rPr>
        <w:footnoteRef/>
      </w:r>
      <w:r w:rsidRPr="00DD5C6E">
        <w:rPr>
          <w:rFonts w:asciiTheme="majorHAnsi" w:hAnsiTheme="majorHAnsi"/>
          <w:sz w:val="20"/>
          <w:szCs w:val="20"/>
        </w:rPr>
        <w:t xml:space="preserve"> </w:t>
      </w:r>
      <w:r w:rsidR="00DD5C6E" w:rsidRPr="00DD5C6E">
        <w:rPr>
          <w:rFonts w:asciiTheme="majorHAnsi" w:hAnsiTheme="majorHAnsi"/>
          <w:sz w:val="20"/>
          <w:szCs w:val="20"/>
        </w:rPr>
        <w:t>http://www.inm.gob.mx/gobmx/word/index.php/transparencia-focalizada/</w:t>
      </w:r>
      <w:r w:rsidR="00DD5C6E">
        <w:rPr>
          <w:rFonts w:asciiTheme="majorHAnsi" w:hAnsiTheme="majorHAnsi"/>
          <w:sz w:val="20"/>
          <w:szCs w:val="20"/>
        </w:rPr>
        <w:t xml:space="preserve"> </w:t>
      </w:r>
    </w:p>
  </w:footnote>
  <w:footnote w:id="7">
    <w:p w14:paraId="6C1BE4F7" w14:textId="2E9098AB" w:rsidR="00024CFB" w:rsidRPr="00DD5C6E" w:rsidRDefault="00024CFB">
      <w:pPr>
        <w:pStyle w:val="Textonotapie"/>
        <w:rPr>
          <w:rFonts w:asciiTheme="majorHAnsi" w:hAnsiTheme="majorHAnsi"/>
          <w:sz w:val="20"/>
          <w:szCs w:val="20"/>
        </w:rPr>
      </w:pPr>
      <w:r>
        <w:rPr>
          <w:rStyle w:val="Refdenotaalpie"/>
        </w:rPr>
        <w:footnoteRef/>
      </w:r>
      <w:r w:rsidR="00DD5C6E">
        <w:t xml:space="preserve"> </w:t>
      </w:r>
      <w:r w:rsidR="00DD5C6E" w:rsidRPr="00DD5C6E">
        <w:rPr>
          <w:rFonts w:asciiTheme="majorHAnsi" w:hAnsiTheme="majorHAnsi"/>
          <w:sz w:val="20"/>
          <w:szCs w:val="20"/>
        </w:rPr>
        <w:t>Datos tomados de la Cuenta Pública de 2015, http://cuentapublica.hacienda.gob.mx/es/CP/2015</w:t>
      </w:r>
    </w:p>
  </w:footnote>
  <w:footnote w:id="8">
    <w:p w14:paraId="709E96CE" w14:textId="3F2DB8EA" w:rsidR="00024CFB" w:rsidRPr="00DD5C6E" w:rsidRDefault="00024CFB">
      <w:pPr>
        <w:pStyle w:val="Textonotapie"/>
        <w:rPr>
          <w:rFonts w:asciiTheme="majorHAnsi" w:hAnsiTheme="majorHAnsi"/>
          <w:sz w:val="20"/>
          <w:szCs w:val="20"/>
        </w:rPr>
      </w:pPr>
      <w:r w:rsidRPr="00DD5C6E">
        <w:rPr>
          <w:rStyle w:val="Refdenotaalpie"/>
          <w:rFonts w:asciiTheme="majorHAnsi" w:hAnsiTheme="majorHAnsi"/>
          <w:sz w:val="20"/>
          <w:szCs w:val="20"/>
        </w:rPr>
        <w:footnoteRef/>
      </w:r>
      <w:r w:rsidRPr="00DD5C6E">
        <w:rPr>
          <w:rFonts w:asciiTheme="majorHAnsi" w:hAnsiTheme="majorHAnsi"/>
          <w:sz w:val="20"/>
          <w:szCs w:val="20"/>
        </w:rPr>
        <w:t xml:space="preserve"> </w:t>
      </w:r>
      <w:r w:rsidR="00DD5C6E" w:rsidRPr="00DD5C6E">
        <w:rPr>
          <w:rFonts w:asciiTheme="majorHAnsi" w:hAnsiTheme="majorHAnsi"/>
          <w:sz w:val="20"/>
          <w:szCs w:val="20"/>
        </w:rPr>
        <w:t>http://www.comar.gob.mx/es/COMAR/Estadisticas_COMAR</w:t>
      </w:r>
    </w:p>
  </w:footnote>
  <w:footnote w:id="9">
    <w:p w14:paraId="4BC14950" w14:textId="69073A64" w:rsidR="00B4178A" w:rsidRPr="00B4178A" w:rsidRDefault="00B4178A">
      <w:pPr>
        <w:pStyle w:val="Textonotapie"/>
      </w:pPr>
      <w:r>
        <w:rPr>
          <w:rStyle w:val="Refdenotaalpie"/>
        </w:rPr>
        <w:footnoteRef/>
      </w:r>
      <w:r>
        <w:t xml:space="preserve"> </w:t>
      </w:r>
      <w:r w:rsidRPr="00DD5C6E">
        <w:rPr>
          <w:rFonts w:asciiTheme="majorHAnsi" w:hAnsiTheme="majorHAnsi"/>
          <w:sz w:val="20"/>
          <w:szCs w:val="20"/>
        </w:rPr>
        <w:t>http://www.politicamigratoria.gob.mx/es_mx/SEGOB/Estadistica</w:t>
      </w:r>
    </w:p>
  </w:footnote>
  <w:footnote w:id="10">
    <w:p w14:paraId="3D599E72" w14:textId="77777777" w:rsidR="00B92AA0" w:rsidRPr="00B4178A" w:rsidRDefault="00B92AA0" w:rsidP="00054ADA">
      <w:pPr>
        <w:pStyle w:val="Textonotapie"/>
        <w:jc w:val="both"/>
        <w:rPr>
          <w:rFonts w:asciiTheme="majorHAnsi" w:hAnsiTheme="majorHAnsi"/>
          <w:sz w:val="20"/>
          <w:szCs w:val="20"/>
        </w:rPr>
      </w:pPr>
      <w:r w:rsidRPr="00B4178A">
        <w:rPr>
          <w:rStyle w:val="Refdenotaalpie"/>
          <w:rFonts w:asciiTheme="majorHAnsi" w:hAnsiTheme="majorHAnsi"/>
          <w:sz w:val="20"/>
          <w:szCs w:val="20"/>
        </w:rPr>
        <w:footnoteRef/>
      </w:r>
      <w:r w:rsidRPr="00B4178A">
        <w:rPr>
          <w:rFonts w:asciiTheme="majorHAnsi" w:hAnsiTheme="majorHAnsi"/>
          <w:sz w:val="20"/>
          <w:szCs w:val="20"/>
        </w:rPr>
        <w:t xml:space="preserve"> Comisión de los Derechos Humanos del Estado de Coahuila de Zaragoza, </w:t>
      </w:r>
      <w:r w:rsidRPr="00B4178A">
        <w:rPr>
          <w:rFonts w:asciiTheme="majorHAnsi" w:hAnsiTheme="majorHAnsi"/>
          <w:i/>
          <w:sz w:val="20"/>
          <w:szCs w:val="20"/>
        </w:rPr>
        <w:t>Informe anual de actividades 2015</w:t>
      </w:r>
      <w:r w:rsidRPr="00B4178A">
        <w:rPr>
          <w:rFonts w:asciiTheme="majorHAnsi" w:hAnsiTheme="majorHAnsi"/>
          <w:sz w:val="20"/>
          <w:szCs w:val="20"/>
        </w:rPr>
        <w:t>, http://cdhec.org.mx//archivos/pdf/INFORME%20DE%20LABORES%202015.pdf</w:t>
      </w:r>
    </w:p>
  </w:footnote>
  <w:footnote w:id="11">
    <w:p w14:paraId="32204093" w14:textId="77777777" w:rsidR="00B92AA0" w:rsidRPr="00B4178A" w:rsidRDefault="00B92AA0" w:rsidP="00B4178A">
      <w:pPr>
        <w:pStyle w:val="Textonotapie"/>
        <w:rPr>
          <w:rFonts w:asciiTheme="majorHAnsi" w:hAnsiTheme="majorHAnsi"/>
          <w:sz w:val="20"/>
          <w:szCs w:val="20"/>
        </w:rPr>
      </w:pPr>
      <w:r w:rsidRPr="00B4178A">
        <w:rPr>
          <w:rStyle w:val="Refdenotaalpie"/>
          <w:rFonts w:asciiTheme="majorHAnsi" w:hAnsiTheme="majorHAnsi"/>
          <w:sz w:val="20"/>
          <w:szCs w:val="20"/>
        </w:rPr>
        <w:footnoteRef/>
      </w:r>
      <w:r w:rsidRPr="00B4178A">
        <w:rPr>
          <w:rFonts w:asciiTheme="majorHAnsi" w:hAnsiTheme="majorHAnsi"/>
          <w:sz w:val="20"/>
          <w:szCs w:val="20"/>
        </w:rPr>
        <w:t xml:space="preserve"> Fiscalía G</w:t>
      </w:r>
      <w:bookmarkStart w:id="0" w:name="_GoBack"/>
      <w:bookmarkEnd w:id="0"/>
      <w:r w:rsidRPr="00B4178A">
        <w:rPr>
          <w:rFonts w:asciiTheme="majorHAnsi" w:hAnsiTheme="majorHAnsi"/>
          <w:sz w:val="20"/>
          <w:szCs w:val="20"/>
        </w:rPr>
        <w:t xml:space="preserve">eneral del Estado de Coahuila, </w:t>
      </w:r>
      <w:r w:rsidRPr="00B4178A">
        <w:rPr>
          <w:rFonts w:asciiTheme="majorHAnsi" w:hAnsiTheme="majorHAnsi"/>
          <w:i/>
          <w:sz w:val="20"/>
          <w:szCs w:val="20"/>
        </w:rPr>
        <w:t>Informe anual de actividades 2015</w:t>
      </w:r>
      <w:r w:rsidRPr="00B4178A">
        <w:rPr>
          <w:rFonts w:asciiTheme="majorHAnsi" w:hAnsiTheme="majorHAnsi"/>
          <w:sz w:val="20"/>
          <w:szCs w:val="20"/>
        </w:rPr>
        <w:t>, http://www.coahuilatransparente.gob.mx/BD/InformeAnualActividades/FGEInformeAnual.pdf</w:t>
      </w:r>
    </w:p>
  </w:footnote>
  <w:footnote w:id="12">
    <w:p w14:paraId="1A5A13FB" w14:textId="65F7A677" w:rsidR="00B92AA0" w:rsidRPr="00B4178A" w:rsidRDefault="00B92AA0" w:rsidP="00054ADA">
      <w:pPr>
        <w:pStyle w:val="Textonotapie"/>
        <w:jc w:val="both"/>
        <w:rPr>
          <w:rFonts w:asciiTheme="majorHAnsi" w:hAnsiTheme="majorHAnsi"/>
          <w:sz w:val="20"/>
          <w:szCs w:val="20"/>
        </w:rPr>
      </w:pPr>
      <w:r w:rsidRPr="00B4178A">
        <w:rPr>
          <w:rStyle w:val="Refdenotaalpie"/>
          <w:rFonts w:asciiTheme="majorHAnsi" w:hAnsiTheme="majorHAnsi"/>
          <w:sz w:val="20"/>
          <w:szCs w:val="20"/>
        </w:rPr>
        <w:footnoteRef/>
      </w:r>
      <w:r w:rsidRPr="00B4178A">
        <w:rPr>
          <w:rFonts w:asciiTheme="majorHAnsi" w:hAnsiTheme="majorHAnsi"/>
          <w:sz w:val="20"/>
          <w:szCs w:val="20"/>
        </w:rPr>
        <w:t xml:space="preserve"> Recomendación 3/2016,  </w:t>
      </w:r>
      <w:r w:rsidRPr="00B4178A">
        <w:rPr>
          <w:rFonts w:asciiTheme="majorHAnsi" w:hAnsiTheme="majorHAnsi"/>
          <w:i/>
          <w:sz w:val="20"/>
          <w:szCs w:val="20"/>
        </w:rPr>
        <w:t>Comisión de los Derechos Humanos del Estado de Coahuila de Zaragoza</w:t>
      </w:r>
      <w:r w:rsidR="00054ADA" w:rsidRPr="00B4178A">
        <w:rPr>
          <w:rFonts w:asciiTheme="majorHAnsi" w:hAnsiTheme="majorHAnsi"/>
          <w:sz w:val="20"/>
          <w:szCs w:val="20"/>
        </w:rPr>
        <w:t>.</w:t>
      </w:r>
    </w:p>
  </w:footnote>
  <w:footnote w:id="13">
    <w:p w14:paraId="0CBD5017" w14:textId="68BA1C3D" w:rsidR="00B92AA0" w:rsidRPr="00054ADA" w:rsidRDefault="00B92AA0" w:rsidP="00054ADA">
      <w:pPr>
        <w:pStyle w:val="Textonotapie"/>
        <w:jc w:val="both"/>
        <w:rPr>
          <w:rFonts w:ascii="Helvetica" w:hAnsi="Helvetica"/>
          <w:sz w:val="18"/>
          <w:szCs w:val="18"/>
        </w:rPr>
      </w:pPr>
      <w:r w:rsidRPr="00B4178A">
        <w:rPr>
          <w:rStyle w:val="Refdenotaalpie"/>
          <w:rFonts w:asciiTheme="majorHAnsi" w:hAnsiTheme="majorHAnsi"/>
          <w:sz w:val="20"/>
          <w:szCs w:val="20"/>
        </w:rPr>
        <w:footnoteRef/>
      </w:r>
      <w:r w:rsidRPr="00B4178A">
        <w:rPr>
          <w:rFonts w:asciiTheme="majorHAnsi" w:hAnsiTheme="majorHAnsi"/>
          <w:sz w:val="20"/>
          <w:szCs w:val="20"/>
        </w:rPr>
        <w:t xml:space="preserve"> Recomendación 9/2016,  </w:t>
      </w:r>
      <w:r w:rsidRPr="00B4178A">
        <w:rPr>
          <w:rFonts w:asciiTheme="majorHAnsi" w:hAnsiTheme="majorHAnsi"/>
          <w:i/>
          <w:sz w:val="20"/>
          <w:szCs w:val="20"/>
        </w:rPr>
        <w:t>Comisión de los Derechos Humanos del Estado de Coahuila de Zaragoza</w:t>
      </w:r>
      <w:r w:rsidR="00054ADA" w:rsidRPr="00B4178A">
        <w:rPr>
          <w:rFonts w:asciiTheme="majorHAnsi" w:hAnsiTheme="majorHAnsi"/>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7156" w14:textId="77777777" w:rsidR="00067E04" w:rsidRDefault="00067E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553"/>
    <w:multiLevelType w:val="hybridMultilevel"/>
    <w:tmpl w:val="C31EF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0362A7"/>
    <w:multiLevelType w:val="multilevel"/>
    <w:tmpl w:val="F08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1C"/>
    <w:rsid w:val="00024CFB"/>
    <w:rsid w:val="00054ADA"/>
    <w:rsid w:val="00067E04"/>
    <w:rsid w:val="00097586"/>
    <w:rsid w:val="0011346D"/>
    <w:rsid w:val="00186F0E"/>
    <w:rsid w:val="001F2270"/>
    <w:rsid w:val="00222413"/>
    <w:rsid w:val="00224BE0"/>
    <w:rsid w:val="002F6542"/>
    <w:rsid w:val="0033625D"/>
    <w:rsid w:val="003E6546"/>
    <w:rsid w:val="003F6927"/>
    <w:rsid w:val="0058525A"/>
    <w:rsid w:val="00647A3B"/>
    <w:rsid w:val="006A160E"/>
    <w:rsid w:val="006A1741"/>
    <w:rsid w:val="006D75A4"/>
    <w:rsid w:val="007244BA"/>
    <w:rsid w:val="00807DC8"/>
    <w:rsid w:val="00824CBF"/>
    <w:rsid w:val="00A45D7D"/>
    <w:rsid w:val="00AC131C"/>
    <w:rsid w:val="00B4178A"/>
    <w:rsid w:val="00B92AA0"/>
    <w:rsid w:val="00CB4A0F"/>
    <w:rsid w:val="00CE7A97"/>
    <w:rsid w:val="00D97036"/>
    <w:rsid w:val="00DB0499"/>
    <w:rsid w:val="00DD5C6E"/>
    <w:rsid w:val="00EE3DE3"/>
    <w:rsid w:val="00F32B7E"/>
    <w:rsid w:val="00F344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60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7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C131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131C"/>
    <w:rPr>
      <w:rFonts w:ascii="Times" w:hAnsi="Times"/>
      <w:b/>
      <w:bCs/>
      <w:sz w:val="36"/>
      <w:szCs w:val="36"/>
    </w:rPr>
  </w:style>
  <w:style w:type="character" w:styleId="nfasis">
    <w:name w:val="Emphasis"/>
    <w:basedOn w:val="Fuentedeprrafopredeter"/>
    <w:uiPriority w:val="20"/>
    <w:qFormat/>
    <w:rsid w:val="00AC131C"/>
    <w:rPr>
      <w:i/>
      <w:iCs/>
    </w:rPr>
  </w:style>
  <w:style w:type="character" w:styleId="Hipervnculo">
    <w:name w:val="Hyperlink"/>
    <w:basedOn w:val="Fuentedeprrafopredeter"/>
    <w:uiPriority w:val="99"/>
    <w:unhideWhenUsed/>
    <w:rsid w:val="00AC131C"/>
    <w:rPr>
      <w:color w:val="0000FF" w:themeColor="hyperlink"/>
      <w:u w:val="single"/>
    </w:rPr>
  </w:style>
  <w:style w:type="paragraph" w:styleId="Textonotapie">
    <w:name w:val="footnote text"/>
    <w:basedOn w:val="Normal"/>
    <w:link w:val="TextonotapieCar"/>
    <w:uiPriority w:val="99"/>
    <w:unhideWhenUsed/>
    <w:rsid w:val="00224BE0"/>
  </w:style>
  <w:style w:type="character" w:customStyle="1" w:styleId="TextonotapieCar">
    <w:name w:val="Texto nota pie Car"/>
    <w:basedOn w:val="Fuentedeprrafopredeter"/>
    <w:link w:val="Textonotapie"/>
    <w:uiPriority w:val="99"/>
    <w:rsid w:val="00224BE0"/>
  </w:style>
  <w:style w:type="character" w:styleId="Refdenotaalpie">
    <w:name w:val="footnote reference"/>
    <w:basedOn w:val="Fuentedeprrafopredeter"/>
    <w:uiPriority w:val="99"/>
    <w:unhideWhenUsed/>
    <w:rsid w:val="00224BE0"/>
    <w:rPr>
      <w:vertAlign w:val="superscript"/>
    </w:rPr>
  </w:style>
  <w:style w:type="paragraph" w:styleId="Textonotaalfinal">
    <w:name w:val="endnote text"/>
    <w:basedOn w:val="Normal"/>
    <w:link w:val="TextonotaalfinalCar"/>
    <w:uiPriority w:val="99"/>
    <w:unhideWhenUsed/>
    <w:rsid w:val="00224BE0"/>
  </w:style>
  <w:style w:type="character" w:customStyle="1" w:styleId="TextonotaalfinalCar">
    <w:name w:val="Texto nota al final Car"/>
    <w:basedOn w:val="Fuentedeprrafopredeter"/>
    <w:link w:val="Textonotaalfinal"/>
    <w:uiPriority w:val="99"/>
    <w:rsid w:val="00224BE0"/>
  </w:style>
  <w:style w:type="character" w:styleId="Refdenotaalfinal">
    <w:name w:val="endnote reference"/>
    <w:basedOn w:val="Fuentedeprrafopredeter"/>
    <w:uiPriority w:val="99"/>
    <w:unhideWhenUsed/>
    <w:rsid w:val="00224BE0"/>
    <w:rPr>
      <w:vertAlign w:val="superscript"/>
    </w:rPr>
  </w:style>
  <w:style w:type="table" w:styleId="Tablaconcuadrcula">
    <w:name w:val="Table Grid"/>
    <w:basedOn w:val="Tablanormal"/>
    <w:uiPriority w:val="39"/>
    <w:rsid w:val="0022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1741"/>
    <w:rPr>
      <w:sz w:val="16"/>
      <w:szCs w:val="16"/>
    </w:rPr>
  </w:style>
  <w:style w:type="paragraph" w:styleId="Textocomentario">
    <w:name w:val="annotation text"/>
    <w:basedOn w:val="Normal"/>
    <w:link w:val="TextocomentarioCar"/>
    <w:uiPriority w:val="99"/>
    <w:semiHidden/>
    <w:unhideWhenUsed/>
    <w:rsid w:val="006A1741"/>
    <w:rPr>
      <w:sz w:val="20"/>
      <w:szCs w:val="20"/>
    </w:rPr>
  </w:style>
  <w:style w:type="character" w:customStyle="1" w:styleId="TextocomentarioCar">
    <w:name w:val="Texto comentario Car"/>
    <w:basedOn w:val="Fuentedeprrafopredeter"/>
    <w:link w:val="Textocomentario"/>
    <w:uiPriority w:val="99"/>
    <w:semiHidden/>
    <w:rsid w:val="006A1741"/>
    <w:rPr>
      <w:sz w:val="20"/>
      <w:szCs w:val="20"/>
    </w:rPr>
  </w:style>
  <w:style w:type="paragraph" w:styleId="Asuntodelcomentario">
    <w:name w:val="annotation subject"/>
    <w:basedOn w:val="Textocomentario"/>
    <w:next w:val="Textocomentario"/>
    <w:link w:val="AsuntodelcomentarioCar"/>
    <w:uiPriority w:val="99"/>
    <w:semiHidden/>
    <w:unhideWhenUsed/>
    <w:rsid w:val="006A1741"/>
    <w:rPr>
      <w:b/>
      <w:bCs/>
    </w:rPr>
  </w:style>
  <w:style w:type="character" w:customStyle="1" w:styleId="AsuntodelcomentarioCar">
    <w:name w:val="Asunto del comentario Car"/>
    <w:basedOn w:val="TextocomentarioCar"/>
    <w:link w:val="Asuntodelcomentario"/>
    <w:uiPriority w:val="99"/>
    <w:semiHidden/>
    <w:rsid w:val="006A1741"/>
    <w:rPr>
      <w:b/>
      <w:bCs/>
      <w:sz w:val="20"/>
      <w:szCs w:val="20"/>
    </w:rPr>
  </w:style>
  <w:style w:type="paragraph" w:styleId="Textodeglobo">
    <w:name w:val="Balloon Text"/>
    <w:basedOn w:val="Normal"/>
    <w:link w:val="TextodegloboCar"/>
    <w:uiPriority w:val="99"/>
    <w:semiHidden/>
    <w:unhideWhenUsed/>
    <w:rsid w:val="006A1741"/>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741"/>
    <w:rPr>
      <w:rFonts w:ascii="Tahoma" w:hAnsi="Tahoma" w:cs="Tahoma"/>
      <w:sz w:val="16"/>
      <w:szCs w:val="16"/>
    </w:rPr>
  </w:style>
  <w:style w:type="character" w:customStyle="1" w:styleId="Ttulo1Car">
    <w:name w:val="Título 1 Car"/>
    <w:basedOn w:val="Fuentedeprrafopredeter"/>
    <w:link w:val="Ttulo1"/>
    <w:uiPriority w:val="9"/>
    <w:rsid w:val="00067E0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67E04"/>
    <w:pPr>
      <w:tabs>
        <w:tab w:val="center" w:pos="4419"/>
        <w:tab w:val="right" w:pos="8838"/>
      </w:tabs>
    </w:pPr>
  </w:style>
  <w:style w:type="character" w:customStyle="1" w:styleId="EncabezadoCar">
    <w:name w:val="Encabezado Car"/>
    <w:basedOn w:val="Fuentedeprrafopredeter"/>
    <w:link w:val="Encabezado"/>
    <w:uiPriority w:val="99"/>
    <w:rsid w:val="00067E04"/>
  </w:style>
  <w:style w:type="paragraph" w:styleId="Piedepgina">
    <w:name w:val="footer"/>
    <w:basedOn w:val="Normal"/>
    <w:link w:val="PiedepginaCar"/>
    <w:uiPriority w:val="99"/>
    <w:unhideWhenUsed/>
    <w:rsid w:val="00067E04"/>
    <w:pPr>
      <w:tabs>
        <w:tab w:val="center" w:pos="4419"/>
        <w:tab w:val="right" w:pos="8838"/>
      </w:tabs>
    </w:pPr>
  </w:style>
  <w:style w:type="character" w:customStyle="1" w:styleId="PiedepginaCar">
    <w:name w:val="Pie de página Car"/>
    <w:basedOn w:val="Fuentedeprrafopredeter"/>
    <w:link w:val="Piedepgina"/>
    <w:uiPriority w:val="99"/>
    <w:rsid w:val="00067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7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C131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131C"/>
    <w:rPr>
      <w:rFonts w:ascii="Times" w:hAnsi="Times"/>
      <w:b/>
      <w:bCs/>
      <w:sz w:val="36"/>
      <w:szCs w:val="36"/>
    </w:rPr>
  </w:style>
  <w:style w:type="character" w:styleId="nfasis">
    <w:name w:val="Emphasis"/>
    <w:basedOn w:val="Fuentedeprrafopredeter"/>
    <w:uiPriority w:val="20"/>
    <w:qFormat/>
    <w:rsid w:val="00AC131C"/>
    <w:rPr>
      <w:i/>
      <w:iCs/>
    </w:rPr>
  </w:style>
  <w:style w:type="character" w:styleId="Hipervnculo">
    <w:name w:val="Hyperlink"/>
    <w:basedOn w:val="Fuentedeprrafopredeter"/>
    <w:uiPriority w:val="99"/>
    <w:unhideWhenUsed/>
    <w:rsid w:val="00AC131C"/>
    <w:rPr>
      <w:color w:val="0000FF" w:themeColor="hyperlink"/>
      <w:u w:val="single"/>
    </w:rPr>
  </w:style>
  <w:style w:type="paragraph" w:styleId="Textonotapie">
    <w:name w:val="footnote text"/>
    <w:basedOn w:val="Normal"/>
    <w:link w:val="TextonotapieCar"/>
    <w:uiPriority w:val="99"/>
    <w:unhideWhenUsed/>
    <w:rsid w:val="00224BE0"/>
  </w:style>
  <w:style w:type="character" w:customStyle="1" w:styleId="TextonotapieCar">
    <w:name w:val="Texto nota pie Car"/>
    <w:basedOn w:val="Fuentedeprrafopredeter"/>
    <w:link w:val="Textonotapie"/>
    <w:uiPriority w:val="99"/>
    <w:rsid w:val="00224BE0"/>
  </w:style>
  <w:style w:type="character" w:styleId="Refdenotaalpie">
    <w:name w:val="footnote reference"/>
    <w:basedOn w:val="Fuentedeprrafopredeter"/>
    <w:uiPriority w:val="99"/>
    <w:unhideWhenUsed/>
    <w:rsid w:val="00224BE0"/>
    <w:rPr>
      <w:vertAlign w:val="superscript"/>
    </w:rPr>
  </w:style>
  <w:style w:type="paragraph" w:styleId="Textonotaalfinal">
    <w:name w:val="endnote text"/>
    <w:basedOn w:val="Normal"/>
    <w:link w:val="TextonotaalfinalCar"/>
    <w:uiPriority w:val="99"/>
    <w:unhideWhenUsed/>
    <w:rsid w:val="00224BE0"/>
  </w:style>
  <w:style w:type="character" w:customStyle="1" w:styleId="TextonotaalfinalCar">
    <w:name w:val="Texto nota al final Car"/>
    <w:basedOn w:val="Fuentedeprrafopredeter"/>
    <w:link w:val="Textonotaalfinal"/>
    <w:uiPriority w:val="99"/>
    <w:rsid w:val="00224BE0"/>
  </w:style>
  <w:style w:type="character" w:styleId="Refdenotaalfinal">
    <w:name w:val="endnote reference"/>
    <w:basedOn w:val="Fuentedeprrafopredeter"/>
    <w:uiPriority w:val="99"/>
    <w:unhideWhenUsed/>
    <w:rsid w:val="00224BE0"/>
    <w:rPr>
      <w:vertAlign w:val="superscript"/>
    </w:rPr>
  </w:style>
  <w:style w:type="table" w:styleId="Tablaconcuadrcula">
    <w:name w:val="Table Grid"/>
    <w:basedOn w:val="Tablanormal"/>
    <w:uiPriority w:val="39"/>
    <w:rsid w:val="0022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1741"/>
    <w:rPr>
      <w:sz w:val="16"/>
      <w:szCs w:val="16"/>
    </w:rPr>
  </w:style>
  <w:style w:type="paragraph" w:styleId="Textocomentario">
    <w:name w:val="annotation text"/>
    <w:basedOn w:val="Normal"/>
    <w:link w:val="TextocomentarioCar"/>
    <w:uiPriority w:val="99"/>
    <w:semiHidden/>
    <w:unhideWhenUsed/>
    <w:rsid w:val="006A1741"/>
    <w:rPr>
      <w:sz w:val="20"/>
      <w:szCs w:val="20"/>
    </w:rPr>
  </w:style>
  <w:style w:type="character" w:customStyle="1" w:styleId="TextocomentarioCar">
    <w:name w:val="Texto comentario Car"/>
    <w:basedOn w:val="Fuentedeprrafopredeter"/>
    <w:link w:val="Textocomentario"/>
    <w:uiPriority w:val="99"/>
    <w:semiHidden/>
    <w:rsid w:val="006A1741"/>
    <w:rPr>
      <w:sz w:val="20"/>
      <w:szCs w:val="20"/>
    </w:rPr>
  </w:style>
  <w:style w:type="paragraph" w:styleId="Asuntodelcomentario">
    <w:name w:val="annotation subject"/>
    <w:basedOn w:val="Textocomentario"/>
    <w:next w:val="Textocomentario"/>
    <w:link w:val="AsuntodelcomentarioCar"/>
    <w:uiPriority w:val="99"/>
    <w:semiHidden/>
    <w:unhideWhenUsed/>
    <w:rsid w:val="006A1741"/>
    <w:rPr>
      <w:b/>
      <w:bCs/>
    </w:rPr>
  </w:style>
  <w:style w:type="character" w:customStyle="1" w:styleId="AsuntodelcomentarioCar">
    <w:name w:val="Asunto del comentario Car"/>
    <w:basedOn w:val="TextocomentarioCar"/>
    <w:link w:val="Asuntodelcomentario"/>
    <w:uiPriority w:val="99"/>
    <w:semiHidden/>
    <w:rsid w:val="006A1741"/>
    <w:rPr>
      <w:b/>
      <w:bCs/>
      <w:sz w:val="20"/>
      <w:szCs w:val="20"/>
    </w:rPr>
  </w:style>
  <w:style w:type="paragraph" w:styleId="Textodeglobo">
    <w:name w:val="Balloon Text"/>
    <w:basedOn w:val="Normal"/>
    <w:link w:val="TextodegloboCar"/>
    <w:uiPriority w:val="99"/>
    <w:semiHidden/>
    <w:unhideWhenUsed/>
    <w:rsid w:val="006A1741"/>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741"/>
    <w:rPr>
      <w:rFonts w:ascii="Tahoma" w:hAnsi="Tahoma" w:cs="Tahoma"/>
      <w:sz w:val="16"/>
      <w:szCs w:val="16"/>
    </w:rPr>
  </w:style>
  <w:style w:type="character" w:customStyle="1" w:styleId="Ttulo1Car">
    <w:name w:val="Título 1 Car"/>
    <w:basedOn w:val="Fuentedeprrafopredeter"/>
    <w:link w:val="Ttulo1"/>
    <w:uiPriority w:val="9"/>
    <w:rsid w:val="00067E0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67E04"/>
    <w:pPr>
      <w:tabs>
        <w:tab w:val="center" w:pos="4419"/>
        <w:tab w:val="right" w:pos="8838"/>
      </w:tabs>
    </w:pPr>
  </w:style>
  <w:style w:type="character" w:customStyle="1" w:styleId="EncabezadoCar">
    <w:name w:val="Encabezado Car"/>
    <w:basedOn w:val="Fuentedeprrafopredeter"/>
    <w:link w:val="Encabezado"/>
    <w:uiPriority w:val="99"/>
    <w:rsid w:val="00067E04"/>
  </w:style>
  <w:style w:type="paragraph" w:styleId="Piedepgina">
    <w:name w:val="footer"/>
    <w:basedOn w:val="Normal"/>
    <w:link w:val="PiedepginaCar"/>
    <w:uiPriority w:val="99"/>
    <w:unhideWhenUsed/>
    <w:rsid w:val="00067E04"/>
    <w:pPr>
      <w:tabs>
        <w:tab w:val="center" w:pos="4419"/>
        <w:tab w:val="right" w:pos="8838"/>
      </w:tabs>
    </w:pPr>
  </w:style>
  <w:style w:type="character" w:customStyle="1" w:styleId="PiedepginaCar">
    <w:name w:val="Pie de página Car"/>
    <w:basedOn w:val="Fuentedeprrafopredeter"/>
    <w:link w:val="Piedepgina"/>
    <w:uiPriority w:val="99"/>
    <w:rsid w:val="0006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422">
      <w:bodyDiv w:val="1"/>
      <w:marLeft w:val="0"/>
      <w:marRight w:val="0"/>
      <w:marTop w:val="0"/>
      <w:marBottom w:val="0"/>
      <w:divBdr>
        <w:top w:val="none" w:sz="0" w:space="0" w:color="auto"/>
        <w:left w:val="none" w:sz="0" w:space="0" w:color="auto"/>
        <w:bottom w:val="none" w:sz="0" w:space="0" w:color="auto"/>
        <w:right w:val="none" w:sz="0" w:space="0" w:color="auto"/>
      </w:divBdr>
    </w:div>
    <w:div w:id="652298029">
      <w:bodyDiv w:val="1"/>
      <w:marLeft w:val="0"/>
      <w:marRight w:val="0"/>
      <w:marTop w:val="0"/>
      <w:marBottom w:val="0"/>
      <w:divBdr>
        <w:top w:val="none" w:sz="0" w:space="0" w:color="auto"/>
        <w:left w:val="none" w:sz="0" w:space="0" w:color="auto"/>
        <w:bottom w:val="none" w:sz="0" w:space="0" w:color="auto"/>
        <w:right w:val="none" w:sz="0" w:space="0" w:color="auto"/>
      </w:divBdr>
    </w:div>
    <w:div w:id="667027400">
      <w:bodyDiv w:val="1"/>
      <w:marLeft w:val="0"/>
      <w:marRight w:val="0"/>
      <w:marTop w:val="0"/>
      <w:marBottom w:val="0"/>
      <w:divBdr>
        <w:top w:val="none" w:sz="0" w:space="0" w:color="auto"/>
        <w:left w:val="none" w:sz="0" w:space="0" w:color="auto"/>
        <w:bottom w:val="none" w:sz="0" w:space="0" w:color="auto"/>
        <w:right w:val="none" w:sz="0" w:space="0" w:color="auto"/>
      </w:divBdr>
    </w:div>
    <w:div w:id="1112094898">
      <w:bodyDiv w:val="1"/>
      <w:marLeft w:val="0"/>
      <w:marRight w:val="0"/>
      <w:marTop w:val="0"/>
      <w:marBottom w:val="0"/>
      <w:divBdr>
        <w:top w:val="none" w:sz="0" w:space="0" w:color="auto"/>
        <w:left w:val="none" w:sz="0" w:space="0" w:color="auto"/>
        <w:bottom w:val="none" w:sz="0" w:space="0" w:color="auto"/>
        <w:right w:val="none" w:sz="0" w:space="0" w:color="auto"/>
      </w:divBdr>
    </w:div>
    <w:div w:id="1249073171">
      <w:bodyDiv w:val="1"/>
      <w:marLeft w:val="0"/>
      <w:marRight w:val="0"/>
      <w:marTop w:val="0"/>
      <w:marBottom w:val="0"/>
      <w:divBdr>
        <w:top w:val="none" w:sz="0" w:space="0" w:color="auto"/>
        <w:left w:val="none" w:sz="0" w:space="0" w:color="auto"/>
        <w:bottom w:val="none" w:sz="0" w:space="0" w:color="auto"/>
        <w:right w:val="none" w:sz="0" w:space="0" w:color="auto"/>
      </w:divBdr>
    </w:div>
    <w:div w:id="1524392976">
      <w:bodyDiv w:val="1"/>
      <w:marLeft w:val="0"/>
      <w:marRight w:val="0"/>
      <w:marTop w:val="0"/>
      <w:marBottom w:val="0"/>
      <w:divBdr>
        <w:top w:val="none" w:sz="0" w:space="0" w:color="auto"/>
        <w:left w:val="none" w:sz="0" w:space="0" w:color="auto"/>
        <w:bottom w:val="none" w:sz="0" w:space="0" w:color="auto"/>
        <w:right w:val="none" w:sz="0" w:space="0" w:color="auto"/>
      </w:divBdr>
    </w:div>
    <w:div w:id="1735739078">
      <w:bodyDiv w:val="1"/>
      <w:marLeft w:val="0"/>
      <w:marRight w:val="0"/>
      <w:marTop w:val="0"/>
      <w:marBottom w:val="0"/>
      <w:divBdr>
        <w:top w:val="none" w:sz="0" w:space="0" w:color="auto"/>
        <w:left w:val="none" w:sz="0" w:space="0" w:color="auto"/>
        <w:bottom w:val="none" w:sz="0" w:space="0" w:color="auto"/>
        <w:right w:val="none" w:sz="0" w:space="0" w:color="auto"/>
      </w:divBdr>
    </w:div>
    <w:div w:id="1812792540">
      <w:bodyDiv w:val="1"/>
      <w:marLeft w:val="0"/>
      <w:marRight w:val="0"/>
      <w:marTop w:val="0"/>
      <w:marBottom w:val="0"/>
      <w:divBdr>
        <w:top w:val="none" w:sz="0" w:space="0" w:color="auto"/>
        <w:left w:val="none" w:sz="0" w:space="0" w:color="auto"/>
        <w:bottom w:val="none" w:sz="0" w:space="0" w:color="auto"/>
        <w:right w:val="none" w:sz="0" w:space="0" w:color="auto"/>
      </w:divBdr>
    </w:div>
    <w:div w:id="208236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6520-19DD-45D6-8862-D772C0DD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8907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Suárez</dc:creator>
  <cp:lastModifiedBy>Jose</cp:lastModifiedBy>
  <cp:revision>2</cp:revision>
  <dcterms:created xsi:type="dcterms:W3CDTF">2016-08-08T04:13:00Z</dcterms:created>
  <dcterms:modified xsi:type="dcterms:W3CDTF">2016-08-08T04:13:00Z</dcterms:modified>
</cp:coreProperties>
</file>